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General Assignment of Assets</w:t>
      </w:r>
    </w:p>
    <w:p>
      <w:pPr>
        <w:pStyle w:val="DocSubtitle"/>
      </w:pPr>
      <w:r>
        <w:t>To {{ trust_title }}, {% if is_restatement %}dated {{ original_dated }}, as restated on {% if trust_date_known %}{{ signing_date_text }}{% else %}</w:t>
      </w:r>
      <w:r>
        <w:rPr>
          <w:b/>
          <w:highlight w:val="yellow"/>
        </w:rPr>
        <w:t>____________________, 20____</w:t>
      </w:r>
      <w:r>
        <w:t>{% endif %}{% else %}dated {% if trust_date_known %}{{ signing_date_text }}{% else %}</w:t>
      </w:r>
      <w:r>
        <w:rPr>
          <w:b/>
          <w:highlight w:val="yellow"/>
        </w:rPr>
        <w:t>____________________, 20____</w:t>
      </w:r>
      <w:r>
        <w:t>{% endif %}{% endif %}</w:t>
      </w:r>
    </w:p>
    <w:p>
      <w:pPr>
        <w:pStyle w:val="Plain"/>
      </w:pPr>
      <w:r>
        <w:t>For valuable consideration, the receipt of which is acknowledged, {{ s1_name | upper }} and {{ s2_name | upper }} (the "Assignors") assign, transfer, and convey to {{ s1_name }} and {{ s2_name }}, Trustees of {{ trust_title }}, {% if is_restatement %}dated {{ original_dated }}, as restated on {% if trust_date_known %}{{ signing_date_text }}{% else %}</w:t>
      </w:r>
      <w:r>
        <w:rPr>
          <w:b/>
          <w:highlight w:val="yellow"/>
        </w:rPr>
        <w:t>____________________, 20____</w:t>
      </w:r>
      <w:r>
        <w:t>{% endif %}{% else %}dated {% if trust_date_known %}{{ signing_date_text }}{% else %}</w:t>
      </w:r>
      <w:r>
        <w:rPr>
          <w:b/>
          <w:highlight w:val="yellow"/>
        </w:rPr>
        <w:t>____________________, 20____</w:t>
      </w:r>
      <w:r>
        <w:t>{% endif %}{% endif %} (the "Trust"), all of the Assignors' right, title, and interest in the following property, wherever located, whether now owned or later acquired:</w:t>
      </w:r>
    </w:p>
    <w:p>
      <w:pPr>
        <w:pStyle w:val="Hang"/>
      </w:pPr>
      <w:r>
        <w:t>1.</w:t>
      </w:r>
      <w:r>
        <w:tab/>
      </w:r>
      <w:r>
        <w:t>All tangible personal property, including household furniture and furnishings, jewelry, clothing, books, art, collections, tools, and personal effects;</w:t>
      </w:r>
    </w:p>
    <w:p>
      <w:pPr>
        <w:pStyle w:val="Hang"/>
      </w:pPr>
      <w:r>
        <w:t>2.</w:t>
      </w:r>
      <w:r>
        <w:tab/>
      </w:r>
      <w:r>
        <w:t>All deposit, savings, money market, brokerage, and investment accounts, certificates of deposit, stocks, bonds, notes, and other securities, and all cash;</w:t>
      </w:r>
    </w:p>
    <w:p>
      <w:pPr>
        <w:pStyle w:val="Hang"/>
      </w:pPr>
      <w:r>
        <w:t>3.</w:t>
      </w:r>
      <w:r>
        <w:tab/>
      </w:r>
      <w:r>
        <w:t>All interests in corporations, limited liability companies, partnerships, and other business entities, subject to any restrictions on transfer in their governing documents;</w:t>
      </w:r>
    </w:p>
    <w:p>
      <w:pPr>
        <w:pStyle w:val="Hang"/>
      </w:pPr>
      <w:r>
        <w:t>4.</w:t>
      </w:r>
      <w:r>
        <w:tab/>
      </w:r>
      <w:r>
        <w:t>All copyrights, royalties, intellectual property, digital assets, and claims, refunds, and causes of action;</w:t>
      </w:r>
    </w:p>
    <w:p>
      <w:pPr>
        <w:pStyle w:val="Hang"/>
      </w:pPr>
      <w:r>
        <w:t>5.</w:t>
      </w:r>
      <w:r>
        <w:tab/>
      </w:r>
      <w:r>
        <w:t>All real property described on the Schedules to the Trust, and every other interest in real property that the Assignors intend to be held in the Trust; and</w:t>
      </w:r>
    </w:p>
    <w:p>
      <w:pPr>
        <w:pStyle w:val="Hang"/>
      </w:pPr>
      <w:r>
        <w:t>6.</w:t>
      </w:r>
      <w:r>
        <w:tab/>
      </w:r>
      <w:r>
        <w:t>All other property of every kind that is not effectively transferred to the Trust by another instrument.</w:t>
      </w:r>
    </w:p>
    <w:p>
      <w:pPr>
        <w:pStyle w:val="Plain"/>
        <w:spacing w:before="120"/>
      </w:pPr>
      <w:r>
        <w:rPr>
          <w:b/>
        </w:rPr>
        <w:t>Exclusions.</w:t>
      </w:r>
      <w:r>
        <w:t xml:space="preserve"> This assignment does not include (a) interests in qualified retirement plans, individual retirement accounts, tax-sheltered annuities, health savings accounts, and education savings accounts; (b) life insurance policies and annuities; or (c) any property that would lose a tax benefit or create a default under its governing documents by reason of this assignment. Those assets pass by their own beneficiary designations.</w:t>
      </w:r>
    </w:p>
    <w:p>
      <w:pPr>
        <w:pStyle w:val="Plain"/>
      </w:pPr>
      <w:r>
        <w:rPr>
          <w:b/>
        </w:rPr>
        <w:t>Character of Property.</w:t>
      </w:r>
      <w:r>
        <w:t xml:space="preserve"> Community property assigned by this instrument remains community property, and the separate property of each Assignor remains that Assignor's separate property, as provided in the Trust and Family Code Section 761.</w:t>
      </w:r>
    </w:p>
    <w:p>
      <w:pPr>
        <w:pStyle w:val="Plain"/>
      </w:pPr>
      <w:r>
        <w:rPr>
          <w:b/>
        </w:rPr>
        <w:t>Intent.</w:t>
      </w:r>
      <w:r>
        <w:t xml:space="preserve"> The Assignors intend this instrument to be an effective declaration that the property described above is held in the Trust, to be relied on in any proceeding under Probate Code Section 850. The Assignors agree to sign any further documents needed to complete the transfer of title to the Trustees.</w:t>
      </w:r>
    </w:p>
    <w:p>
      <w:pPr>
        <w:pStyle w:val="Plain"/>
        <w:keepNext/>
        <w:spacing w:before="120"/>
      </w:pPr>
      <w:r>
        <w:t>Signed on {% if trust_date_known %}{{ signing_date_text }}{% else %}</w:t>
      </w:r>
      <w:r>
        <w:rPr>
          <w:b/>
          <w:highlight w:val="yellow"/>
        </w:rPr>
        <w:t>____________________, 20____</w:t>
      </w:r>
      <w:r>
        <w:t>{% endif %}, at {% if signing_county %}{{ signing_county }}{% else %}</w:t>
      </w:r>
      <w:r>
        <w:rPr>
          <w:b/>
          <w:highlight w:val="yellow"/>
        </w:rPr>
        <w:t>____________________</w:t>
      </w:r>
      <w:r>
        <w:t>{% endif %} County, California.</w:t>
      </w:r>
    </w:p>
    <w:p>
      <w:pPr>
        <w:pStyle w:val="Plain"/>
        <w:keepNext/>
      </w:pPr>
      <w:r>
        <w:rPr>
          <w:b/>
        </w:rPr>
        <w:t>ASSIGNORS:</w:t>
      </w:r>
    </w:p>
    <w:p>
      <w:pPr>
        <w:pStyle w:val="SigLine"/>
      </w:pPr>
      <w:r>
        <w:t>_______________________________________</w:t>
      </w:r>
    </w:p>
    <w:p>
      <w:pPr>
        <w:pStyle w:val="SigName"/>
      </w:pPr>
      <w:r>
        <w:rPr>
          <w:b/>
        </w:rPr>
        <w:t>{{ s1_name | upper }}</w:t>
      </w:r>
      <w:r>
        <w:br/>
      </w:r>
      <w:r>
        <w:t>Assignor</w:t>
      </w:r>
    </w:p>
    <w:p>
      <w:pPr>
        <w:pStyle w:val="SigLine"/>
      </w:pPr>
      <w:r>
        <w:t>_______________________________________</w:t>
      </w:r>
    </w:p>
    <w:p>
      <w:pPr>
        <w:pStyle w:val="SigName"/>
      </w:pPr>
      <w:r>
        <w:rPr>
          <w:b/>
        </w:rPr>
        <w:t>{{ s2_name | upper }}</w:t>
      </w:r>
      <w:r>
        <w:br/>
      </w:r>
      <w:r>
        <w:t>Assignor</w:t>
      </w:r>
    </w:p>
    <w:p>
      <w:pPr>
        <w:pStyle w:val="Plain"/>
        <w:keepNext/>
        <w:spacing w:before="360"/>
      </w:pPr>
      <w:r>
        <w:rPr>
          <w:b/>
        </w:rPr>
        <w:t>ACCEPTED BY THE TRUSTEES:</w:t>
      </w:r>
    </w:p>
    <w:p>
      <w:pPr>
        <w:pStyle w:val="SigLine"/>
      </w:pPr>
      <w:r>
        <w:t>_______________________________________</w:t>
      </w:r>
    </w:p>
    <w:p>
      <w:pPr>
        <w:pStyle w:val="SigName"/>
      </w:pPr>
      <w:r>
        <w:rPr>
          <w:b/>
        </w:rPr>
        <w:t>{{ s1_name | upper }}</w:t>
      </w:r>
      <w:r>
        <w:br/>
      </w:r>
      <w:r>
        <w:t>Trustee</w:t>
      </w:r>
    </w:p>
    <w:p>
      <w:pPr>
        <w:pStyle w:val="SigLine"/>
      </w:pPr>
      <w:r>
        <w:t>_______________________________________</w:t>
      </w:r>
    </w:p>
    <w:p>
      <w:pPr>
        <w:pStyle w:val="SigName"/>
      </w:pPr>
      <w:r>
        <w:rPr>
          <w:b/>
        </w:rPr>
        <w:t>{{ s2_name | upper }}</w:t>
      </w:r>
      <w:r>
        <w:br/>
      </w:r>
      <w:r>
        <w:t>Trustee</w:t>
      </w:r>
    </w:p>
    <w:p>
      <w:pPr>
        <w:pStyle w:val="Control"/>
        <w:spacing w:after="0"/>
      </w:pPr>
      <w:r>
        <w:t>{{p include_docx_template('notary_ack_ca.docx') }}</w:t>
      </w:r>
    </w:p>
    <w:sectPr w:rsidR="00FC693F" w:rsidRPr="0006063C" w:rsidSect="00034616">
      <w:footerReference w:type="default" r:id="rId9"/>
      <w:pgSz w:w="12240" w:h="15840"/>
      <w:pgMar w:top="1440" w:right="1440" w:bottom="1296"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General Assignment | {{ trust_title }}</w:t>
    </w:r>
  </w:p>
  <w:p>
    <w:pPr>
      <w:pStyle w:val="Footer"/>
      <w:jc w:val="center"/>
    </w:pPr>
    <w:r>
      <w:t xml:space="preserve">Page </w:t>
    </w:r>
    <w:fldSimple w:instr=" PAGE \* MERGEFORMAT ">
      <w:r>
        <w:t>1</w:t>
      </w:r>
    </w:fldSimple>
    <w:r>
      <w:t xml:space="preserve"> of </w:t>
    </w:r>
    <w:fldSimple w:instr=" NUMPAGES \* MERGEFORMAT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200" w:line="240"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imes New Roman" w:hAnsi="Times New Roman" w:eastAsia="Times New Roman" w:cs="Times New Roman"/>
      <w:b/>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keepNext/>
      <w:spacing w:after="120"/>
      <w:jc w:val="center"/>
    </w:pPr>
    <w:rPr>
      <w:rFonts w:ascii="Times New Roman" w:hAnsi="Times New Roman" w:eastAsia="Times New Roman" w:cs="Times New Roman"/>
      <w:b/>
      <w:caps/>
      <w:color w:val="000000"/>
      <w:sz w:val="32"/>
    </w:rPr>
  </w:style>
  <w:style w:type="paragraph" w:customStyle="1" w:styleId="DocSubtitle">
    <w:name w:val="Doc Subtitle"/>
    <w:basedOn w:val="Normal"/>
    <w:pPr>
      <w:keepNext/>
      <w:spacing w:after="120"/>
      <w:jc w:val="center"/>
    </w:pPr>
    <w:rPr>
      <w:rFonts w:ascii="Times New Roman" w:hAnsi="Times New Roman" w:eastAsia="Times New Roman" w:cs="Times New Roman"/>
      <w:i/>
      <w:color w:val="000000"/>
      <w:sz w:val="24"/>
    </w:rPr>
  </w:style>
  <w:style w:type="paragraph" w:customStyle="1" w:styleId="Center">
    <w:name w:val="Center"/>
    <w:basedOn w:val="Normal"/>
    <w:pPr>
      <w:keepNext w:val="0"/>
      <w:jc w:val="center"/>
    </w:pPr>
    <w:rPr>
      <w:rFonts w:ascii="Times New Roman" w:hAnsi="Times New Roman" w:eastAsia="Times New Roman" w:cs="Times New Roman"/>
      <w:color w:val="000000"/>
      <w:sz w:val="24"/>
    </w:rPr>
  </w:style>
  <w:style w:type="paragraph" w:customStyle="1" w:styleId="CenterBold">
    <w:name w:val="Center Bold"/>
    <w:basedOn w:val="Normal"/>
    <w:pPr>
      <w:keepNext/>
      <w:jc w:val="center"/>
    </w:pPr>
    <w:rPr>
      <w:rFonts w:ascii="Times New Roman" w:hAnsi="Times New Roman" w:eastAsia="Times New Roman" w:cs="Times New Roman"/>
      <w:b/>
      <w:color w:val="000000"/>
      <w:sz w:val="24"/>
    </w:rPr>
  </w:style>
  <w:style w:type="paragraph" w:customStyle="1" w:styleId="TrustSection">
    <w:name w:val="Trust Section"/>
    <w:basedOn w:val="Normal"/>
    <w:pPr>
      <w:keepNext w:val="0"/>
      <w:jc w:val="both"/>
    </w:pPr>
    <w:rPr>
      <w:rFonts w:ascii="Times New Roman" w:hAnsi="Times New Roman" w:eastAsia="Times New Roman" w:cs="Times New Roman"/>
      <w:color w:val="000000"/>
      <w:sz w:val="24"/>
    </w:rPr>
  </w:style>
  <w:style w:type="paragraph" w:customStyle="1" w:styleId="TrustSub">
    <w:name w:val="Trust Sub"/>
    <w:basedOn w:val="Normal"/>
    <w:pPr>
      <w:keepNext w:val="0"/>
      <w:jc w:val="both"/>
    </w:pPr>
    <w:rPr>
      <w:rFonts w:ascii="Times New Roman" w:hAnsi="Times New Roman" w:eastAsia="Times New Roman" w:cs="Times New Roman"/>
      <w:color w:val="000000"/>
      <w:sz w:val="24"/>
    </w:rPr>
  </w:style>
  <w:style w:type="paragraph" w:customStyle="1" w:styleId="TrustSubSub">
    <w:name w:val="Trust SubSub"/>
    <w:basedOn w:val="Normal"/>
    <w:pPr>
      <w:keepNext w:val="0"/>
      <w:jc w:val="both"/>
    </w:pPr>
    <w:rPr>
      <w:rFonts w:ascii="Times New Roman" w:hAnsi="Times New Roman" w:eastAsia="Times New Roman" w:cs="Times New Roman"/>
      <w:color w:val="000000"/>
      <w:sz w:val="24"/>
    </w:rPr>
  </w:style>
  <w:style w:type="paragraph" w:customStyle="1" w:styleId="Body">
    <w:name w:val="Body"/>
    <w:basedOn w:val="Normal"/>
    <w:pPr>
      <w:keepNext w:val="0"/>
      <w:ind w:firstLine="720"/>
      <w:jc w:val="both"/>
    </w:pPr>
    <w:rPr>
      <w:rFonts w:ascii="Times New Roman" w:hAnsi="Times New Roman" w:eastAsia="Times New Roman" w:cs="Times New Roman"/>
      <w:color w:val="000000"/>
      <w:sz w:val="24"/>
    </w:rPr>
  </w:style>
  <w:style w:type="paragraph" w:customStyle="1" w:styleId="BodyIndent">
    <w:name w:val="Body Indent"/>
    <w:basedOn w:val="Normal"/>
    <w:pPr>
      <w:keepNext w:val="0"/>
      <w:ind w:left="1440"/>
      <w:jc w:val="both"/>
    </w:pPr>
    <w:rPr>
      <w:rFonts w:ascii="Times New Roman" w:hAnsi="Times New Roman" w:eastAsia="Times New Roman" w:cs="Times New Roman"/>
      <w:color w:val="000000"/>
      <w:sz w:val="24"/>
    </w:rPr>
  </w:style>
  <w:style w:type="paragraph" w:customStyle="1" w:styleId="Plain">
    <w:name w:val="Plain"/>
    <w:basedOn w:val="Normal"/>
    <w:pPr>
      <w:keepNext w:val="0"/>
      <w:jc w:val="both"/>
    </w:pPr>
    <w:rPr>
      <w:rFonts w:ascii="Times New Roman" w:hAnsi="Times New Roman" w:eastAsia="Times New Roman" w:cs="Times New Roman"/>
      <w:color w:val="000000"/>
      <w:sz w:val="24"/>
    </w:rPr>
  </w:style>
  <w:style w:type="paragraph" w:customStyle="1" w:styleId="PlainLeft">
    <w:name w:val="Plain Left"/>
    <w:basedOn w:val="Normal"/>
    <w:pPr>
      <w:keepNext w:val="0"/>
      <w:jc w:val="left"/>
    </w:pPr>
    <w:rPr>
      <w:rFonts w:ascii="Times New Roman" w:hAnsi="Times New Roman" w:eastAsia="Times New Roman" w:cs="Times New Roman"/>
      <w:color w:val="000000"/>
      <w:sz w:val="24"/>
    </w:rPr>
  </w:style>
  <w:style w:type="paragraph" w:customStyle="1" w:styleId="Hang">
    <w:name w:val="Hang"/>
    <w:basedOn w:val="Normal"/>
    <w:pPr>
      <w:keepNext w:val="0"/>
      <w:ind w:left="720" w:hanging="720"/>
      <w:jc w:val="both"/>
    </w:pPr>
    <w:rPr>
      <w:rFonts w:ascii="Times New Roman" w:hAnsi="Times New Roman" w:eastAsia="Times New Roman" w:cs="Times New Roman"/>
      <w:color w:val="000000"/>
      <w:sz w:val="24"/>
    </w:rPr>
  </w:style>
  <w:style w:type="paragraph" w:customStyle="1" w:styleId="BulletPlain">
    <w:name w:val="Bullet Plain"/>
    <w:basedOn w:val="Normal"/>
    <w:pPr>
      <w:keepNext w:val="0"/>
      <w:spacing w:after="80"/>
      <w:ind w:left="720" w:hanging="360"/>
      <w:jc w:val="left"/>
    </w:pPr>
    <w:rPr>
      <w:rFonts w:ascii="Times New Roman" w:hAnsi="Times New Roman" w:eastAsia="Times New Roman" w:cs="Times New Roman"/>
      <w:color w:val="000000"/>
      <w:sz w:val="24"/>
    </w:rPr>
  </w:style>
  <w:style w:type="paragraph" w:customStyle="1" w:styleId="SigLine">
    <w:name w:val="Sig Line"/>
    <w:basedOn w:val="Normal"/>
    <w:pPr>
      <w:keepNext/>
      <w:spacing w:before="600" w:after="0"/>
      <w:ind w:left="4320"/>
      <w:jc w:val="left"/>
    </w:pPr>
    <w:rPr>
      <w:rFonts w:ascii="Times New Roman" w:hAnsi="Times New Roman" w:eastAsia="Times New Roman" w:cs="Times New Roman"/>
      <w:color w:val="000000"/>
      <w:sz w:val="24"/>
    </w:rPr>
  </w:style>
  <w:style w:type="paragraph" w:customStyle="1" w:styleId="SigName">
    <w:name w:val="Sig Name"/>
    <w:basedOn w:val="Normal"/>
    <w:pPr>
      <w:keepNext/>
      <w:spacing w:after="120"/>
      <w:ind w:left="4320"/>
      <w:jc w:val="left"/>
    </w:pPr>
    <w:rPr>
      <w:rFonts w:ascii="Times New Roman" w:hAnsi="Times New Roman" w:eastAsia="Times New Roman" w:cs="Times New Roman"/>
      <w:color w:val="000000"/>
      <w:sz w:val="24"/>
    </w:rPr>
  </w:style>
  <w:style w:type="paragraph" w:customStyle="1" w:styleId="ScheduleTitle">
    <w:name w:val="Schedule Title"/>
    <w:basedOn w:val="Normal"/>
    <w:pPr>
      <w:keepNext/>
      <w:spacing w:after="80"/>
      <w:jc w:val="center"/>
    </w:pPr>
    <w:rPr>
      <w:rFonts w:ascii="Times New Roman" w:hAnsi="Times New Roman" w:eastAsia="Times New Roman" w:cs="Times New Roman"/>
      <w:b/>
      <w:caps/>
      <w:color w:val="000000"/>
      <w:sz w:val="24"/>
    </w:rPr>
  </w:style>
  <w:style w:type="paragraph" w:customStyle="1" w:styleId="Small">
    <w:name w:val="Small"/>
    <w:basedOn w:val="Normal"/>
    <w:pPr>
      <w:keepNext w:val="0"/>
      <w:spacing w:after="80"/>
      <w:jc w:val="both"/>
    </w:pPr>
    <w:rPr>
      <w:rFonts w:ascii="Times New Roman" w:hAnsi="Times New Roman" w:eastAsia="Times New Roman" w:cs="Times New Roman"/>
      <w:color w:val="000000"/>
      <w:sz w:val="20"/>
    </w:rPr>
  </w:style>
  <w:style w:type="paragraph" w:customStyle="1" w:styleId="TableText">
    <w:name w:val="Table Text"/>
    <w:basedOn w:val="Normal"/>
    <w:pPr>
      <w:keepNext w:val="0"/>
      <w:spacing w:after="0"/>
      <w:jc w:val="left"/>
    </w:pPr>
    <w:rPr>
      <w:rFonts w:ascii="Times New Roman" w:hAnsi="Times New Roman" w:eastAsia="Times New Roman" w:cs="Times New Roman"/>
      <w:color w:val="000000"/>
      <w:sz w:val="20"/>
    </w:rPr>
  </w:style>
  <w:style w:type="paragraph" w:customStyle="1" w:styleId="TableHead">
    <w:name w:val="Table Head"/>
    <w:basedOn w:val="Normal"/>
    <w:pPr>
      <w:keepNext w:val="0"/>
      <w:spacing w:after="0"/>
      <w:jc w:val="left"/>
    </w:pPr>
    <w:rPr>
      <w:rFonts w:ascii="Times New Roman" w:hAnsi="Times New Roman" w:eastAsia="Times New Roman" w:cs="Times New Roman"/>
      <w:b/>
      <w:color w:val="000000"/>
      <w:sz w:val="20"/>
    </w:rPr>
  </w:style>
  <w:style w:type="paragraph" w:customStyle="1" w:styleId="MemoHeading">
    <w:name w:val="Memo Heading"/>
    <w:basedOn w:val="Normal"/>
    <w:pPr>
      <w:keepNext/>
      <w:spacing w:before="240" w:after="120"/>
    </w:pPr>
    <w:rPr>
      <w:rFonts w:ascii="Times New Roman" w:hAnsi="Times New Roman" w:eastAsia="Times New Roman" w:cs="Times New Roman"/>
      <w:b/>
      <w:color w:val="000000"/>
      <w:sz w:val="26"/>
    </w:rPr>
  </w:style>
  <w:style w:type="paragraph" w:customStyle="1" w:styleId="Control">
    <w:name w:val="Control"/>
    <w:basedOn w:val="Normal"/>
    <w:pPr>
      <w:keepNext w:val="0"/>
    </w:pPr>
    <w:rPr>
      <w:rFonts w:ascii="Times New Roman" w:hAnsi="Times New Roman" w:eastAsia="Times New Roman" w:cs="Times New Roman"/>
      <w:color w:val="000000"/>
      <w:sz w:val="2"/>
    </w:rPr>
  </w:style>
  <w:style w:type="paragraph" w:customStyle="1" w:styleId="ContentsLine">
    <w:name w:val="Contents Line"/>
    <w:basedOn w:val="Normal"/>
    <w:pPr>
      <w:keepNext w:val="0"/>
      <w:tabs>
        <w:tab w:pos="3744" w:val="left"/>
      </w:tabs>
      <w:spacing w:after="60"/>
      <w:ind w:left="1440"/>
    </w:pPr>
    <w:rPr>
      <w:rFonts w:ascii="Times New Roman" w:hAnsi="Times New Roman" w:eastAsia="Times New Roman" w:cs="Times New Roman"/>
      <w:color w:val="000000"/>
      <w:sz w:val="24"/>
    </w:rPr>
  </w:style>
  <w:style w:type="paragraph" w:customStyle="1" w:styleId="TOC1">
    <w:name w:val="TOC 1"/>
    <w:basedOn w:val="Normal"/>
    <w:pPr>
      <w:keepNext w:val="0"/>
      <w:tabs>
        <w:tab w:pos="9360" w:val="right" w:leader="dot"/>
      </w:tabs>
      <w:spacing w:after="80"/>
    </w:pPr>
    <w:rPr>
      <w:rFonts w:ascii="Times New Roman" w:hAnsi="Times New Roman" w:eastAsia="Times New Roman" w:cs="Times New Roman"/>
      <w:color w:val="000000"/>
      <w:sz w:val="24"/>
    </w:rPr>
  </w:style>
  <w:style w:type="paragraph" w:customStyle="1" w:styleId="Contents1">
    <w:name w:val="Contents 1"/>
    <w:basedOn w:val="Normal"/>
    <w:pPr>
      <w:keepNext w:val="0"/>
      <w:tabs>
        <w:tab w:pos="9360" w:val="right" w:leader="dot"/>
      </w:tabs>
      <w:spacing w:after="80"/>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