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Plan Summary and Funding Memo</w:t>
      </w:r>
    </w:p>
    <w:p>
      <w:pPr>
        <w:pStyle w:val="DocSubtitle"/>
      </w:pPr>
      <w:r>
        <w:t>Privileged and confidential | Attorney work product | Draft for attorney review</w:t>
      </w:r>
    </w:p>
    <w:tbl>
      <w:tblPr>
        <w:tblStyle w:val="TableGrid"/>
        <w:tblW w:type="auto" w:w="0"/>
        <w:jc w:val="center"/>
        <w:tblLook w:firstColumn="1" w:firstRow="1" w:lastColumn="0" w:lastRow="0" w:noHBand="0" w:noVBand="1" w:val="04A0"/>
      </w:tblPr>
      <w:tblGrid>
        <w:gridCol w:w="4680"/>
        <w:gridCol w:w="4680"/>
      </w:tblGrid>
      <w:tr>
        <w:tc>
          <w:tcPr>
            <w:tcW w:type="dxa" w:w="2160"/>
          </w:tcPr>
          <w:p>
            <w:pPr>
              <w:pStyle w:val="TableText"/>
            </w:pPr>
            <w:r>
              <w:rPr>
                <w:b/>
              </w:rPr>
              <w:t>Clients</w:t>
            </w:r>
          </w:p>
        </w:tc>
        <w:tc>
          <w:tcPr>
            <w:tcW w:type="dxa" w:w="7200"/>
          </w:tcPr>
          <w:p>
            <w:pPr>
              <w:pStyle w:val="TableText"/>
            </w:pPr>
            <w:r>
              <w:t>{{ s1_name }} and {{ s2_name }}</w:t>
            </w:r>
          </w:p>
        </w:tc>
      </w:tr>
      <w:tr>
        <w:tc>
          <w:tcPr>
            <w:tcW w:type="dxa" w:w="2160"/>
          </w:tcPr>
          <w:p>
            <w:pPr>
              <w:pStyle w:val="TableText"/>
            </w:pPr>
            <w:r>
              <w:rPr>
                <w:b/>
              </w:rPr>
              <w:t>Trust</w:t>
            </w:r>
          </w:p>
        </w:tc>
        <w:tc>
          <w:tcPr>
            <w:tcW w:type="dxa" w:w="7200"/>
          </w:tcPr>
          <w:p>
            <w:pPr>
              <w:pStyle w:val="TableText"/>
            </w:pPr>
            <w:r>
              <w:t>{{ trust_title }},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w:t>
            </w:r>
          </w:p>
        </w:tc>
      </w:tr>
      <w:tr>
        <w:tc>
          <w:tcPr>
            <w:tcW w:type="dxa" w:w="2160"/>
          </w:tcPr>
          <w:p>
            <w:pPr>
              <w:pStyle w:val="TableText"/>
            </w:pPr>
            <w:r>
              <w:rPr>
                <w:b/>
              </w:rPr>
              <w:t>Residence</w:t>
            </w:r>
          </w:p>
        </w:tc>
        <w:tc>
          <w:tcPr>
            <w:tcW w:type="dxa" w:w="7200"/>
          </w:tcPr>
          <w:p>
            <w:pPr>
              <w:pStyle w:val="TableText"/>
            </w:pPr>
            <w:r>
              <w:t>{{ residence.on_one_line() }} ({{ county_name }} County)</w:t>
            </w:r>
          </w:p>
        </w:tc>
      </w:tr>
      <w:tr>
        <w:tc>
          <w:tcPr>
            <w:tcW w:type="dxa" w:w="2160"/>
          </w:tcPr>
          <w:p>
            <w:pPr>
              <w:pStyle w:val="TableText"/>
            </w:pPr>
            <w:r>
              <w:rPr>
                <w:b/>
              </w:rPr>
              <w:t>Prepared by</w:t>
            </w:r>
          </w:p>
        </w:tc>
        <w:tc>
          <w:tcPr>
            <w:tcW w:type="dxa" w:w="7200"/>
          </w:tcPr>
          <w:p>
            <w:pPr>
              <w:pStyle w:val="TableText"/>
            </w:pPr>
            <w:r>
              <w:t>{% if preparer_attorney %}{{ preparer_attorney }}{% if preparer_bar %} (SBN {{ preparer_bar }}){% endif %}{% else %}</w:t>
            </w:r>
            <w:r>
              <w:rPr>
                <w:b/>
                <w:highlight w:val="yellow"/>
              </w:rPr>
              <w:t>[Attorney name]</w:t>
            </w:r>
            <w:r>
              <w:t>{% endif %}, {% if preparer_firm %}{{ preparer_firm }}{% else %}</w:t>
            </w:r>
            <w:r>
              <w:rPr>
                <w:b/>
                <w:highlight w:val="yellow"/>
              </w:rPr>
              <w:t>[Firm name]</w:t>
            </w:r>
            <w:r>
              <w:t>{% endif %}{% if preparer_phone %} | {{ preparer_phone }}{% endif %}{% if preparer_email %} | {{ preparer_email }}{% endif %}</w:t>
            </w:r>
          </w:p>
        </w:tc>
      </w:tr>
      <w:tr>
        <w:tc>
          <w:tcPr>
            <w:tcW w:type="dxa" w:w="2160"/>
          </w:tcPr>
          <w:p>
            <w:pPr>
              <w:pStyle w:val="TableText"/>
            </w:pPr>
            <w:r>
              <w:rPr>
                <w:b/>
              </w:rPr>
              <w:t>Memo date</w:t>
            </w:r>
          </w:p>
        </w:tc>
        <w:tc>
          <w:tcPr>
            <w:tcW w:type="dxa" w:w="7200"/>
          </w:tcPr>
          <w:p>
            <w:pPr>
              <w:pStyle w:val="TableText"/>
            </w:pPr>
            <w:r>
              <w:t>{{ format_date(today(), format="MMMM d, yyyy") }}</w:t>
            </w:r>
          </w:p>
        </w:tc>
      </w:tr>
    </w:tbl>
    <w:p>
      <w:pPr>
        <w:spacing w:after="80"/>
      </w:pPr>
    </w:p>
    <w:p>
      <w:pPr>
        <w:pStyle w:val="MemoHeading"/>
      </w:pPr>
      <w:r>
        <w:t>1. The Plan at a Glance</w:t>
      </w:r>
    </w:p>
    <w:tbl>
      <w:tblPr>
        <w:tblStyle w:val="TableGrid"/>
        <w:tblW w:type="auto" w:w="0"/>
        <w:jc w:val="center"/>
        <w:tblLook w:firstColumn="1" w:firstRow="1" w:lastColumn="0" w:lastRow="0" w:noHBand="0" w:noVBand="1" w:val="04A0"/>
      </w:tblPr>
      <w:tblGrid>
        <w:gridCol w:w="4680"/>
        <w:gridCol w:w="4680"/>
      </w:tblGrid>
      <w:tr>
        <w:trPr>
          <w:tblHeader/>
        </w:trPr>
        <w:tc>
          <w:tcPr>
            <w:tcW w:type="dxa" w:w="2592"/>
            <w:shd w:val="clear" w:color="auto" w:fill="D9E2F3"/>
          </w:tcPr>
          <w:p>
            <w:pPr>
              <w:pStyle w:val="TableHead"/>
            </w:pPr>
            <w:r>
              <w:t>Decision</w:t>
            </w:r>
          </w:p>
        </w:tc>
        <w:tc>
          <w:tcPr>
            <w:tcW w:type="dxa" w:w="6768"/>
            <w:shd w:val="clear" w:color="auto" w:fill="D9E2F3"/>
          </w:tcPr>
          <w:p>
            <w:pPr>
              <w:pStyle w:val="TableHead"/>
            </w:pPr>
            <w:r>
              <w:t>Choice</w:t>
            </w:r>
          </w:p>
        </w:tc>
      </w:tr>
      <w:tr>
        <w:tc>
          <w:tcPr>
            <w:tcW w:type="dxa" w:w="2592"/>
          </w:tcPr>
          <w:p>
            <w:pPr>
              <w:pStyle w:val="TableText"/>
            </w:pPr>
            <w:r>
              <w:t>Trust type</w:t>
            </w:r>
          </w:p>
        </w:tc>
        <w:tc>
          <w:tcPr>
            <w:tcW w:type="dxa" w:w="6768"/>
          </w:tcPr>
          <w:p>
            <w:pPr>
              <w:pStyle w:val="TableText"/>
            </w:pPr>
            <w:r>
              <w:t>Joint revocable living trust{% if is_restatement %} (restatement of {{ original_trust_name }} dated {{ original_dated }}){% endif %}</w:t>
            </w:r>
          </w:p>
        </w:tc>
      </w:tr>
      <w:tr>
        <w:tc>
          <w:tcPr>
            <w:tcW w:type="dxa" w:w="2592"/>
          </w:tcPr>
          <w:p>
            <w:pPr>
              <w:pStyle w:val="TableText"/>
            </w:pPr>
            <w:r>
              <w:t>Plan at first death</w:t>
            </w:r>
          </w:p>
        </w:tc>
        <w:tc>
          <w:tcPr>
            <w:tcW w:type="dxa" w:w="6768"/>
          </w:tcPr>
          <w:p>
            <w:pPr>
              <w:pStyle w:val="TableText"/>
            </w:pPr>
            <w:r>
              <w:t>{{ plan_label }}</w:t>
            </w:r>
          </w:p>
        </w:tc>
      </w:tr>
      <w:tr>
        <w:tc>
          <w:tcPr>
            <w:tcW w:type="dxa" w:w="2592"/>
          </w:tcPr>
          <w:p>
            <w:pPr>
              <w:pStyle w:val="TableText"/>
            </w:pPr>
            <w:r>
              <w:t>Survivor's control</w:t>
            </w:r>
          </w:p>
        </w:tc>
        <w:tc>
          <w:tcPr>
            <w:tcW w:type="dxa" w:w="6768"/>
          </w:tcPr>
          <w:p>
            <w:pPr>
              <w:pStyle w:val="TableText"/>
            </w:pPr>
            <w:r>
              <w:t>{% if plan_type == "survivor" %}Survivor controls the entire trust and may change beneficiaries.{% elif plan_type == "disclaimer" %}Survivor controls everything not disclaimed within nine months.{% else %}Survivor controls only the Survivor's Trust; the Bypass Trust is locked in at the first death.{% endif %}</w:t>
            </w:r>
          </w:p>
        </w:tc>
      </w:tr>
      <w:tr>
        <w:tc>
          <w:tcPr>
            <w:tcW w:type="dxa" w:w="2592"/>
          </w:tcPr>
          <w:p>
            <w:pPr>
              <w:pStyle w:val="TableText"/>
            </w:pPr>
            <w:r>
              <w:t>{{ subtrust_name or "Sub-trust" }} terms</w:t>
            </w:r>
          </w:p>
        </w:tc>
        <w:tc>
          <w:tcPr>
            <w:tcW w:type="dxa" w:w="6768"/>
          </w:tcPr>
          <w:p>
            <w:pPr>
              <w:pStyle w:val="TableText"/>
            </w:pPr>
            <w:r>
              <w:t>{% if plan_type in ("ab", "disclaimer") %}{{ "All net income" if subtrust_income == "mandatory" else "Income for HEMS" }}, principal for HEMS{% if plan_type == "ab" and bypass_five_five %}, 5-and-5 power{% endif %}{% if plan_type == "ab" and bypass_lpoa %}, limited power of appointment{% endif %}{% else %}Not applicable{% endif %}</w:t>
            </w:r>
          </w:p>
        </w:tc>
      </w:tr>
      <w:tr>
        <w:tc>
          <w:tcPr>
            <w:tcW w:type="dxa" w:w="2592"/>
          </w:tcPr>
          <w:p>
            <w:pPr>
              <w:pStyle w:val="TableText"/>
            </w:pPr>
            <w:r>
              <w:t>Specific gifts</w:t>
            </w:r>
          </w:p>
        </w:tc>
        <w:tc>
          <w:tcPr>
            <w:tcW w:type="dxa" w:w="6768"/>
          </w:tcPr>
          <w:p>
            <w:pPr>
              <w:pStyle w:val="TableText"/>
            </w:pPr>
            <w:r>
              <w:t>{% if specific_gifts | length %}{% for g in specific_gifts %}{{ g.short() }}{% if not loop.last %}; {% endif %}{% endfor %}{% else %}None{% endif %}</w:t>
            </w:r>
          </w:p>
        </w:tc>
      </w:tr>
      <w:tr>
        <w:tc>
          <w:tcPr>
            <w:tcW w:type="dxa" w:w="2592"/>
          </w:tcPr>
          <w:p>
            <w:pPr>
              <w:pStyle w:val="TableText"/>
            </w:pPr>
            <w:r>
              <w:t>Residue</w:t>
            </w:r>
          </w:p>
        </w:tc>
        <w:tc>
          <w:tcPr>
            <w:tcW w:type="dxa" w:w="6768"/>
          </w:tcPr>
          <w:p>
            <w:pPr>
              <w:pStyle w:val="TableText"/>
            </w:pPr>
            <w:r>
              <w:t>{% if residue_plan == "children" %}Children in equal shares{% else %}{% for r in residuary %}{{ r.name.text }} ({{ "equal" if residuary_share_method == "equal" else pct(r.share) }}){% if not loop.last %}; {% endif %}{% endfor %}{% endif %}, {{ "per stirpes (Prob. Code 246)" if representation == "per_stirpes" else "per capita at each generation (Prob. Code 247)" }}</w:t>
            </w:r>
          </w:p>
        </w:tc>
      </w:tr>
      <w:tr>
        <w:tc>
          <w:tcPr>
            <w:tcW w:type="dxa" w:w="2592"/>
          </w:tcPr>
          <w:p>
            <w:pPr>
              <w:pStyle w:val="TableText"/>
            </w:pPr>
            <w:r>
              <w:t>Beneficiary shares</w:t>
            </w:r>
          </w:p>
        </w:tc>
        <w:tc>
          <w:tcPr>
            <w:tcW w:type="dxa" w:w="6768"/>
          </w:tcPr>
          <w:p>
            <w:pPr>
              <w:pStyle w:val="TableText"/>
            </w:pPr>
            <w:r>
              <w:t>{% if dist_method == "outright" %}Outright, held in trust until age {{ young_age }}{% elif dist_method == "staged" %}Staged at ages {% for s in stage_plan %}{{ s["age"] }}{% if not loop.last %}, {% endif %}{% endfor %}{% else %}Lifetime protective trusts{% endif %}</w:t>
            </w:r>
          </w:p>
        </w:tc>
      </w:tr>
      <w:tr>
        <w:tc>
          <w:tcPr>
            <w:tcW w:type="dxa" w:w="2592"/>
          </w:tcPr>
          <w:p>
            <w:pPr>
              <w:pStyle w:val="TableText"/>
            </w:pPr>
            <w:r>
              <w:t>Supplemental needs</w:t>
            </w:r>
          </w:p>
        </w:tc>
        <w:tc>
          <w:tcPr>
            <w:tcW w:type="dxa" w:w="6768"/>
          </w:tcPr>
          <w:p>
            <w:pPr>
              <w:pStyle w:val="TableText"/>
            </w:pPr>
            <w:r>
              <w:t>{% if has_special_needs %}{{ special_needs_list | join(", ") }}{% else %}None required (discretionary SNT clause included){% endif %}</w:t>
            </w:r>
          </w:p>
        </w:tc>
      </w:tr>
      <w:tr>
        <w:tc>
          <w:tcPr>
            <w:tcW w:type="dxa" w:w="2592"/>
          </w:tcPr>
          <w:p>
            <w:pPr>
              <w:pStyle w:val="TableText"/>
            </w:pPr>
            <w:r>
              <w:t>Backstop</w:t>
            </w:r>
          </w:p>
        </w:tc>
        <w:tc>
          <w:tcPr>
            <w:tcW w:type="dxa" w:w="6768"/>
          </w:tcPr>
          <w:p>
            <w:pPr>
              <w:pStyle w:val="TableText"/>
            </w:pPr>
            <w:r>
              <w:t>{% if ultimate_plan == "heirs_split" %}One-half to each spouse's heirs{% elif ultimate_plan == "heirs" %}Heirs of the surviving spouse{% else %}{{ ultimate_named | trim }}{% endif %}</w:t>
            </w:r>
          </w:p>
        </w:tc>
      </w:tr>
      <w:tr>
        <w:tc>
          <w:tcPr>
            <w:tcW w:type="dxa" w:w="2592"/>
          </w:tcPr>
          <w:p>
            <w:pPr>
              <w:pStyle w:val="TableText"/>
            </w:pPr>
            <w:r>
              <w:t>Options</w:t>
            </w:r>
          </w:p>
        </w:tc>
        <w:tc>
          <w:tcPr>
            <w:tcW w:type="dxa" w:w="6768"/>
          </w:tcPr>
          <w:p>
            <w:pPr>
              <w:pStyle w:val="TableText"/>
            </w:pPr>
            <w:r>
              <w:t>No-contest clause: {{ "yes" if include_no_contest else "no" }}; survivorship: {{ survivorship_days }} days; firearms: {{ "yes" if has_firearms else "no" }}; CP agreement: {{ "yes" if cp_presumption else "no" }}</w:t>
            </w:r>
          </w:p>
        </w:tc>
      </w:tr>
    </w:tbl>
    <w:p>
      <w:pPr>
        <w:spacing w:after="80"/>
      </w:pPr>
    </w:p>
    <w:p>
      <w:pPr>
        <w:pStyle w:val="MemoHeading"/>
      </w:pPr>
      <w:r>
        <w:t>2. Fiduciaries</w:t>
      </w:r>
    </w:p>
    <w:tbl>
      <w:tblPr>
        <w:tblStyle w:val="TableGrid"/>
        <w:tblW w:type="auto" w:w="0"/>
        <w:jc w:val="center"/>
        <w:tblLook w:firstColumn="1" w:firstRow="1" w:lastColumn="0" w:lastRow="0" w:noHBand="0" w:noVBand="1" w:val="04A0"/>
      </w:tblPr>
      <w:tblGrid>
        <w:gridCol w:w="4680"/>
        <w:gridCol w:w="4680"/>
      </w:tblGrid>
      <w:tr>
        <w:trPr>
          <w:tblHeader/>
        </w:trPr>
        <w:tc>
          <w:tcPr>
            <w:tcW w:type="dxa" w:w="2592"/>
            <w:shd w:val="clear" w:color="auto" w:fill="D9E2F3"/>
          </w:tcPr>
          <w:p>
            <w:pPr>
              <w:pStyle w:val="TableHead"/>
            </w:pPr>
            <w:r>
              <w:t>Role</w:t>
            </w:r>
          </w:p>
        </w:tc>
        <w:tc>
          <w:tcPr>
            <w:tcW w:type="dxa" w:w="6768"/>
            <w:shd w:val="clear" w:color="auto" w:fill="D9E2F3"/>
          </w:tcPr>
          <w:p>
            <w:pPr>
              <w:pStyle w:val="TableHead"/>
            </w:pPr>
            <w:r>
              <w:t>Who</w:t>
            </w:r>
          </w:p>
        </w:tc>
      </w:tr>
      <w:tr>
        <w:tc>
          <w:tcPr>
            <w:tcW w:type="dxa" w:w="2592"/>
          </w:tcPr>
          <w:p>
            <w:pPr>
              <w:pStyle w:val="TableText"/>
            </w:pPr>
            <w:r>
              <w:t>Initial trustees</w:t>
            </w:r>
          </w:p>
        </w:tc>
        <w:tc>
          <w:tcPr>
            <w:tcW w:type="dxa" w:w="6768"/>
          </w:tcPr>
          <w:p>
            <w:pPr>
              <w:pStyle w:val="TableText"/>
            </w:pPr>
            <w:r>
              <w:t>{{ s1_name }} and {{ s2_name }} ({{ "either may act alone" if joint_trustee_authority == "either" else "both must sign" }})</w:t>
            </w:r>
          </w:p>
        </w:tc>
      </w:tr>
      <w:tr>
        <w:tc>
          <w:tcPr>
            <w:tcW w:type="dxa" w:w="2592"/>
          </w:tcPr>
          <w:p>
            <w:pPr>
              <w:pStyle w:val="TableText"/>
            </w:pPr>
            <w:r>
              <w:t>Successor trustees</w:t>
            </w:r>
          </w:p>
        </w:tc>
        <w:tc>
          <w:tcPr>
            <w:tcW w:type="dxa" w:w="6768"/>
          </w:tcPr>
          <w:p>
            <w:pPr>
              <w:pStyle w:val="TableText"/>
            </w:pPr>
            <w:r>
              <w:t>{% for t in successor_trustees %}{{ loop.index }}. {{ t.described() }}{% if not loop.last %}</w:t>
            </w:r>
            <w:r>
              <w:br/>
            </w:r>
            <w:r>
              <w:t>{% endif %}{% endfor %}{% if successor_trustees | length &gt; 1 %}</w:t>
            </w:r>
            <w:r>
              <w:br/>
            </w:r>
            <w:r>
              <w:rPr>
                <w:i/>
              </w:rPr>
              <w:t>Serving {{ "in order" if successor_mode == "sequential" else "together" }}</w:t>
            </w:r>
            <w:r>
              <w:t>{% endif %}</w:t>
            </w:r>
          </w:p>
        </w:tc>
      </w:tr>
      <w:tr>
        <w:tc>
          <w:tcPr>
            <w:tcW w:type="dxa" w:w="2592"/>
          </w:tcPr>
          <w:p>
            <w:pPr>
              <w:pStyle w:val="TableText"/>
            </w:pPr>
            <w:r>
              <w:t>Executors</w:t>
            </w:r>
          </w:p>
        </w:tc>
        <w:tc>
          <w:tcPr>
            <w:tcW w:type="dxa" w:w="6768"/>
          </w:tcPr>
          <w:p>
            <w:pPr>
              <w:pStyle w:val="TableText"/>
            </w:pPr>
            <w:r>
              <w:t>{% if include_wills %}Surviving spouse, then {% for e in will_executors %}{{ e.name.text }}{% if not loop.last %}, {% endif %}{% endfor %}{% else %}No pour-over wills prepared{% endif %}</w:t>
            </w:r>
          </w:p>
        </w:tc>
      </w:tr>
      <w:tr>
        <w:tc>
          <w:tcPr>
            <w:tcW w:type="dxa" w:w="2592"/>
          </w:tcPr>
          <w:p>
            <w:pPr>
              <w:pStyle w:val="TableText"/>
            </w:pPr>
            <w:r>
              <w:t>Guardians</w:t>
            </w:r>
          </w:p>
        </w:tc>
        <w:tc>
          <w:tcPr>
            <w:tcW w:type="dxa" w:w="6768"/>
          </w:tcPr>
          <w:p>
            <w:pPr>
              <w:pStyle w:val="TableText"/>
            </w:pPr>
            <w:r>
              <w:t>{% if include_wills and minor_children_exist and nominate_guardians %}{% for g in guardians %}{{ g.name.text }}{% if g.co_guardian %} and {{ g.co_guardian }}{% endif %}{% if not loop.last %}, then {% endif %}{% endfor %}{% elif minor_children_exist %}</w:t>
            </w:r>
            <w:r>
              <w:rPr>
                <w:b/>
                <w:highlight w:val="yellow"/>
              </w:rPr>
              <w:t>None nominated</w:t>
            </w:r>
            <w:r>
              <w:t>{% else %}Not needed (no minor children){% endif %}</w:t>
            </w:r>
          </w:p>
        </w:tc>
      </w:tr>
      <w:tr>
        <w:tc>
          <w:tcPr>
            <w:tcW w:type="dxa" w:w="2592"/>
          </w:tcPr>
          <w:p>
            <w:pPr>
              <w:pStyle w:val="TableText"/>
            </w:pPr>
            <w:r>
              <w:t>Incapacity</w:t>
            </w:r>
          </w:p>
        </w:tc>
        <w:tc>
          <w:tcPr>
            <w:tcW w:type="dxa" w:w="6768"/>
          </w:tcPr>
          <w:p>
            <w:pPr>
              <w:pStyle w:val="TableText"/>
            </w:pPr>
            <w:r>
              <w:t>{{ incapacity_physicians }} physician certificate(s), or a court order</w:t>
            </w:r>
          </w:p>
        </w:tc>
      </w:tr>
    </w:tbl>
    <w:p>
      <w:pPr>
        <w:spacing w:after="80"/>
      </w:pPr>
    </w:p>
    <w:p>
      <w:pPr>
        <w:pStyle w:val="MemoHeading"/>
      </w:pPr>
      <w:r>
        <w:t>3. Placeholders and Blanks to Complete</w:t>
      </w:r>
    </w:p>
    <w:p>
      <w:pPr>
        <w:pStyle w:val="Plain"/>
      </w:pPr>
      <w:r>
        <w:t xml:space="preserve">Every item below is printed in the documents as a </w:t>
      </w:r>
      <w:r>
        <w:rPr>
          <w:b/>
          <w:highlight w:val="yellow"/>
        </w:rPr>
        <w:t>highlighted blank</w:t>
      </w:r>
      <w:r>
        <w:t>, or is a line completed at signing. Nothing else in the documents is a placeholder.</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2736"/>
            <w:shd w:val="clear" w:color="auto" w:fill="D9E2F3"/>
          </w:tcPr>
          <w:p>
            <w:pPr>
              <w:pStyle w:val="TableHead"/>
            </w:pPr>
            <w:r>
              <w:t>Item</w:t>
            </w:r>
          </w:p>
        </w:tc>
        <w:tc>
          <w:tcPr>
            <w:tcW w:type="dxa" w:w="3456"/>
            <w:shd w:val="clear" w:color="auto" w:fill="D9E2F3"/>
          </w:tcPr>
          <w:p>
            <w:pPr>
              <w:pStyle w:val="TableHead"/>
            </w:pPr>
            <w:r>
              <w:t>Where it appears</w:t>
            </w:r>
          </w:p>
        </w:tc>
        <w:tc>
          <w:tcPr>
            <w:tcW w:type="dxa" w:w="3168"/>
            <w:shd w:val="clear" w:color="auto" w:fill="D9E2F3"/>
          </w:tcPr>
          <w:p>
            <w:pPr>
              <w:pStyle w:val="TableHead"/>
            </w:pPr>
            <w:r>
              <w:t>How to complete</w:t>
            </w:r>
          </w:p>
        </w:tc>
      </w:tr>
      <w:tr>
        <w:tc>
          <w:tcPr>
            <w:tcW w:type="dxa" w:w="2736"/>
          </w:tcPr>
          <w:p>
            <w:pPr>
              <w:pStyle w:val="TableText"/>
            </w:pPr>
            <w:r>
              <w:t>{%tr for p in placeholders %}</w:t>
            </w:r>
          </w:p>
        </w:tc>
        <w:tc>
          <w:tcPr>
            <w:tcW w:type="dxa" w:w="3456"/>
          </w:tcPr>
          <w:p>
            <w:pPr>
              <w:pStyle w:val="TableText"/>
            </w:pPr>
          </w:p>
        </w:tc>
        <w:tc>
          <w:tcPr>
            <w:tcW w:type="dxa" w:w="3168"/>
          </w:tcPr>
          <w:p>
            <w:pPr>
              <w:pStyle w:val="TableText"/>
            </w:pPr>
          </w:p>
        </w:tc>
      </w:tr>
      <w:tr>
        <w:tc>
          <w:tcPr>
            <w:tcW w:type="dxa" w:w="2736"/>
          </w:tcPr>
          <w:p>
            <w:pPr>
              <w:pStyle w:val="TableText"/>
            </w:pPr>
            <w:r>
              <w:rPr>
                <w:b/>
              </w:rPr>
              <w:t>{{ p["item"] }}</w:t>
            </w:r>
          </w:p>
        </w:tc>
        <w:tc>
          <w:tcPr>
            <w:tcW w:type="dxa" w:w="3456"/>
          </w:tcPr>
          <w:p>
            <w:pPr>
              <w:pStyle w:val="TableText"/>
            </w:pPr>
            <w:r>
              <w:t>{{ p["where"] }}</w:t>
            </w:r>
          </w:p>
        </w:tc>
        <w:tc>
          <w:tcPr>
            <w:tcW w:type="dxa" w:w="3168"/>
          </w:tcPr>
          <w:p>
            <w:pPr>
              <w:pStyle w:val="TableText"/>
            </w:pPr>
            <w:r>
              <w:t>{{ p["fix"] }}</w:t>
            </w:r>
          </w:p>
        </w:tc>
      </w:tr>
      <w:tr>
        <w:tc>
          <w:tcPr>
            <w:tcW w:type="dxa" w:w="2736"/>
          </w:tcPr>
          <w:p>
            <w:pPr>
              <w:pStyle w:val="TableText"/>
            </w:pPr>
            <w:r>
              <w:t>{%tr endfor %}</w:t>
            </w:r>
          </w:p>
        </w:tc>
        <w:tc>
          <w:tcPr>
            <w:tcW w:type="dxa" w:w="3456"/>
          </w:tcPr>
          <w:p>
            <w:pPr>
              <w:pStyle w:val="TableText"/>
            </w:pPr>
          </w:p>
        </w:tc>
        <w:tc>
          <w:tcPr>
            <w:tcW w:type="dxa" w:w="3168"/>
          </w:tcPr>
          <w:p>
            <w:pPr>
              <w:pStyle w:val="TableText"/>
            </w:pPr>
          </w:p>
        </w:tc>
      </w:tr>
    </w:tbl>
    <w:p>
      <w:pPr>
        <w:spacing w:after="80"/>
      </w:pPr>
    </w:p>
    <w:p>
      <w:pPr>
        <w:pStyle w:val="MemoHeading"/>
      </w:pPr>
      <w:r>
        <w:t>4. Attorney Review Flags</w:t>
      </w:r>
    </w:p>
    <w:p>
      <w:pPr>
        <w:pStyle w:val="Control"/>
        <w:spacing w:after="0"/>
      </w:pPr>
      <w:r>
        <w:t>{%p if True %}</w:t>
      </w:r>
    </w:p>
    <w:p>
      <w:pPr>
        <w:pStyle w:val="BulletPlain"/>
      </w:pPr>
      <w:r>
        <w:t>•</w:t>
      </w:r>
      <w:r>
        <w:tab/>
      </w:r>
      <w:r>
        <w:t>Joint representation: confirm a signed engagement letter with a joint representation and conflict-waiver disclosure (Rule of Professional Conduct 1.7).</w:t>
      </w:r>
    </w:p>
    <w:p>
      <w:pPr>
        <w:pStyle w:val="Control"/>
        <w:spacing w:after="0"/>
      </w:pPr>
      <w:r>
        <w:t>{%p endif %}</w:t>
      </w:r>
    </w:p>
    <w:p>
      <w:pPr>
        <w:pStyle w:val="Control"/>
        <w:spacing w:after="0"/>
      </w:pPr>
      <w:r>
        <w:t>{%p if plan_type == "survivor" and any_stepchildren %}</w:t>
      </w:r>
    </w:p>
    <w:p>
      <w:pPr>
        <w:pStyle w:val="BulletPlain"/>
      </w:pPr>
      <w:r>
        <w:t>•</w:t>
      </w:r>
      <w:r>
        <w:tab/>
      </w:r>
      <w:r>
        <w:t>Blended family with an All-to-Survivor plan: the surviving spouse can change the beneficiaries and disinherit the other spouse's children. Consider the Disclaimer or A/B plan.</w:t>
      </w:r>
    </w:p>
    <w:p>
      <w:pPr>
        <w:pStyle w:val="Control"/>
        <w:spacing w:after="0"/>
      </w:pPr>
      <w:r>
        <w:t>{%p endif %}</w:t>
      </w:r>
    </w:p>
    <w:p>
      <w:pPr>
        <w:pStyle w:val="Control"/>
        <w:spacing w:after="0"/>
      </w:pPr>
      <w:r>
        <w:t>{%p if plan_type == "ab" %}</w:t>
      </w:r>
    </w:p>
    <w:p>
      <w:pPr>
        <w:pStyle w:val="BulletPlain"/>
      </w:pPr>
      <w:r>
        <w:t>•</w:t>
      </w:r>
      <w:r>
        <w:tab/>
      </w:r>
      <w:r>
        <w:t>Mandatory A/B: confirm the estate size justifies the split. The Bypass Trust needs an EIN and an annual Form 1041, and its assets get no second basis step-up at the survivor's death. Elect portability anyway.</w:t>
      </w:r>
    </w:p>
    <w:p>
      <w:pPr>
        <w:pStyle w:val="Control"/>
        <w:spacing w:after="0"/>
      </w:pPr>
      <w:r>
        <w:t>{%p endif %}</w:t>
      </w:r>
    </w:p>
    <w:p>
      <w:pPr>
        <w:pStyle w:val="Control"/>
        <w:spacing w:after="0"/>
      </w:pPr>
      <w:r>
        <w:t>{%p if plan_type == "disclaimer" %}</w:t>
      </w:r>
    </w:p>
    <w:p>
      <w:pPr>
        <w:pStyle w:val="BulletPlain"/>
      </w:pPr>
      <w:r>
        <w:t>•</w:t>
      </w:r>
      <w:r>
        <w:tab/>
      </w:r>
      <w:r>
        <w:t>Disclaimer plan: at the first death, calendar the nine-month disclaimer deadline and instruct the survivor not to accept benefits from property that may be disclaimed.</w:t>
      </w:r>
    </w:p>
    <w:p>
      <w:pPr>
        <w:pStyle w:val="Control"/>
        <w:spacing w:after="0"/>
      </w:pPr>
      <w:r>
        <w:t>{%p endif %}</w:t>
      </w:r>
    </w:p>
    <w:p>
      <w:pPr>
        <w:pStyle w:val="Control"/>
        <w:spacing w:after="0"/>
      </w:pPr>
      <w:r>
        <w:t>{%p if cp_presumption %}</w:t>
      </w:r>
    </w:p>
    <w:p>
      <w:pPr>
        <w:pStyle w:val="BulletPlain"/>
      </w:pPr>
      <w:r>
        <w:t>•</w:t>
      </w:r>
      <w:r>
        <w:tab/>
      </w:r>
      <w:r>
        <w:t>Community property agreement included: this is a transmutation (Fam. Code 852) that may benefit one spouse at the other's expense (Fam. Code 721 fiduciary duty). Document the advice given and the opportunity for independent counsel.</w:t>
      </w:r>
    </w:p>
    <w:p>
      <w:pPr>
        <w:pStyle w:val="Control"/>
        <w:spacing w:after="0"/>
      </w:pPr>
      <w:r>
        <w:t>{%p endif %}</w:t>
      </w:r>
    </w:p>
    <w:p>
      <w:pPr>
        <w:pStyle w:val="Control"/>
        <w:spacing w:after="0"/>
      </w:pPr>
      <w:r>
        <w:t>{%p if has_special_needs %}</w:t>
      </w:r>
    </w:p>
    <w:p>
      <w:pPr>
        <w:pStyle w:val="BulletPlain"/>
      </w:pPr>
      <w:r>
        <w:t>•</w:t>
      </w:r>
      <w:r>
        <w:tab/>
      </w:r>
      <w:r>
        <w:t>Supplemental needs trusts required for: {{ special_needs_list | join(", ") }}. Make sure beneficiary designations (life insurance, retirement accounts) name the trust, not the beneficiary.</w:t>
      </w:r>
    </w:p>
    <w:p>
      <w:pPr>
        <w:pStyle w:val="Control"/>
        <w:spacing w:after="0"/>
      </w:pPr>
      <w:r>
        <w:t>{%p endif %}</w:t>
      </w:r>
    </w:p>
    <w:p>
      <w:pPr>
        <w:pStyle w:val="Control"/>
        <w:spacing w:after="0"/>
      </w:pPr>
      <w:r>
        <w:t>{%p if residue_plan == "custom" and residuary | selectattr("is_charity") | list | length %}</w:t>
      </w:r>
    </w:p>
    <w:p>
      <w:pPr>
        <w:pStyle w:val="BulletPlain"/>
      </w:pPr>
      <w:r>
        <w:t>•</w:t>
      </w:r>
      <w:r>
        <w:tab/>
      </w:r>
      <w:r>
        <w:t>Charitable beneficiaries: confirm each charity's exact legal name and EIN.</w:t>
      </w:r>
    </w:p>
    <w:p>
      <w:pPr>
        <w:pStyle w:val="Control"/>
        <w:spacing w:after="0"/>
      </w:pPr>
      <w:r>
        <w:t>{%p endif %}</w:t>
      </w:r>
    </w:p>
    <w:p>
      <w:pPr>
        <w:pStyle w:val="Control"/>
        <w:spacing w:after="0"/>
      </w:pPr>
      <w:r>
        <w:t>{%p if specific_gifts | selectattr("is_charity") | list | length %}</w:t>
      </w:r>
    </w:p>
    <w:p>
      <w:pPr>
        <w:pStyle w:val="BulletPlain"/>
      </w:pPr>
      <w:r>
        <w:t>•</w:t>
      </w:r>
      <w:r>
        <w:tab/>
      </w:r>
      <w:r>
        <w:t>Charitable specific gifts: confirm each charity's exact legal name and EIN.</w:t>
      </w:r>
    </w:p>
    <w:p>
      <w:pPr>
        <w:pStyle w:val="Control"/>
        <w:spacing w:after="0"/>
      </w:pPr>
      <w:r>
        <w:t>{%p endif %}</w:t>
      </w:r>
    </w:p>
    <w:p>
      <w:pPr>
        <w:pStyle w:val="Control"/>
        <w:spacing w:after="0"/>
      </w:pPr>
      <w:r>
        <w:t>{%p if minor_children_exist and not (include_wills and nominate_guardians) %}</w:t>
      </w:r>
    </w:p>
    <w:p>
      <w:pPr>
        <w:pStyle w:val="BulletPlain"/>
      </w:pPr>
      <w:r>
        <w:t>•</w:t>
      </w:r>
      <w:r>
        <w:tab/>
      </w:r>
      <w:r>
        <w:t>Minor children but no guardian nomination: a guardian can be nominated only in a will or other signed writing (Prob. Code 1500-1502).</w:t>
      </w:r>
    </w:p>
    <w:p>
      <w:pPr>
        <w:pStyle w:val="Control"/>
        <w:spacing w:after="0"/>
      </w:pPr>
      <w:r>
        <w:t>{%p endif %}</w:t>
      </w:r>
    </w:p>
    <w:p>
      <w:pPr>
        <w:pStyle w:val="Control"/>
        <w:spacing w:after="0"/>
      </w:pPr>
      <w:r>
        <w:t>{%p if designation_assets | length %}</w:t>
      </w:r>
    </w:p>
    <w:p>
      <w:pPr>
        <w:pStyle w:val="BulletPlain"/>
      </w:pPr>
      <w:r>
        <w:t>•</w:t>
      </w:r>
      <w:r>
        <w:tab/>
      </w:r>
      <w:r>
        <w:t>Retirement accounts or life insurance listed: review the beneficiary designations and SECURE Act payout rules before naming the trust.</w:t>
      </w:r>
    </w:p>
    <w:p>
      <w:pPr>
        <w:pStyle w:val="Control"/>
        <w:spacing w:after="0"/>
      </w:pPr>
      <w:r>
        <w:t>{%p endif %}</w:t>
      </w:r>
    </w:p>
    <w:p>
      <w:pPr>
        <w:pStyle w:val="Control"/>
        <w:spacing w:after="0"/>
      </w:pPr>
      <w:r>
        <w:t>{%p if realprop_assets | length %}</w:t>
      </w:r>
    </w:p>
    <w:p>
      <w:pPr>
        <w:pStyle w:val="BulletPlain"/>
      </w:pPr>
      <w:r>
        <w:t>•</w:t>
      </w:r>
      <w:r>
        <w:tab/>
      </w:r>
      <w:r>
        <w:t>Real property: prepare and record a trust transfer deed for each parcel, with a PCOR. Out-of-state real property needs its own deed to avoid ancillary probate.</w:t>
      </w:r>
    </w:p>
    <w:p>
      <w:pPr>
        <w:pStyle w:val="Control"/>
        <w:spacing w:after="0"/>
      </w:pPr>
      <w:r>
        <w:t>{%p endif %}</w:t>
      </w:r>
    </w:p>
    <w:p>
      <w:pPr>
        <w:pStyle w:val="Control"/>
        <w:spacing w:after="0"/>
      </w:pPr>
      <w:r>
        <w:t>{%p if True %}</w:t>
      </w:r>
    </w:p>
    <w:p>
      <w:pPr>
        <w:pStyle w:val="BulletPlain"/>
      </w:pPr>
      <w:r>
        <w:t>•</w:t>
      </w:r>
      <w:r>
        <w:tab/>
      </w:r>
      <w:r>
        <w:t>Property tax: transfers to the trust are excluded from reassessment (R&amp;T Code 62(d)). A later transfer of the home to children may qualify for the limited Proposition 19 parent-child exclusion (R&amp;T Code 63.2); the claim must be filed after the death.</w:t>
      </w:r>
    </w:p>
    <w:p>
      <w:pPr>
        <w:pStyle w:val="Control"/>
        <w:spacing w:after="0"/>
      </w:pPr>
      <w:r>
        <w:t>{%p endif %}</w:t>
      </w:r>
    </w:p>
    <w:p>
      <w:pPr>
        <w:pStyle w:val="Control"/>
        <w:spacing w:after="0"/>
      </w:pPr>
      <w:r>
        <w:t>{%p if has_firearms %}</w:t>
      </w:r>
    </w:p>
    <w:p>
      <w:pPr>
        <w:pStyle w:val="BulletPlain"/>
      </w:pPr>
      <w:r>
        <w:t>•</w:t>
      </w:r>
      <w:r>
        <w:tab/>
      </w:r>
      <w:r>
        <w:t>Firearms: advise the successor trustees about California transfer rules; consider a separate firearms list.</w:t>
      </w:r>
    </w:p>
    <w:p>
      <w:pPr>
        <w:pStyle w:val="Control"/>
        <w:spacing w:after="0"/>
      </w:pPr>
      <w:r>
        <w:t>{%p endif %}</w:t>
      </w:r>
    </w:p>
    <w:p>
      <w:pPr>
        <w:pStyle w:val="Control"/>
        <w:spacing w:after="0"/>
      </w:pPr>
      <w:r>
        <w:t>{%p if is_restatement %}</w:t>
      </w:r>
    </w:p>
    <w:p>
      <w:pPr>
        <w:pStyle w:val="BulletPlain"/>
      </w:pPr>
      <w:r>
        <w:t>•</w:t>
      </w:r>
      <w:r>
        <w:tab/>
      </w:r>
      <w:r>
        <w:t>Restatement: confirm that the original trust's amendment provisions allow a restatement by the method used, and that both spouses are the original trustors.</w:t>
      </w:r>
    </w:p>
    <w:p>
      <w:pPr>
        <w:pStyle w:val="Control"/>
        <w:spacing w:after="0"/>
      </w:pPr>
      <w:r>
        <w:t>{%p endif %}</w:t>
      </w:r>
    </w:p>
    <w:p>
      <w:pPr>
        <w:pStyle w:val="Control"/>
        <w:spacing w:after="0"/>
      </w:pPr>
      <w:r>
        <w:t>{%p if True %}</w:t>
      </w:r>
    </w:p>
    <w:p>
      <w:pPr>
        <w:pStyle w:val="BulletPlain"/>
      </w:pPr>
      <w:r>
        <w:t>•</w:t>
      </w:r>
      <w:r>
        <w:tab/>
      </w:r>
      <w:r>
        <w:t>Ancillary documents not prepared by this questionnaire: durable powers of attorney, advance health care directives, HIPAA releases, and trust transfer deeds.</w:t>
      </w:r>
    </w:p>
    <w:p>
      <w:pPr>
        <w:pStyle w:val="Control"/>
        <w:spacing w:after="0"/>
      </w:pPr>
      <w:r>
        <w:t>{%p endif %}</w:t>
      </w:r>
    </w:p>
    <w:p>
      <w:pPr>
        <w:pStyle w:val="MemoHeading"/>
      </w:pPr>
      <w:r>
        <w:t>5. Funding Checklist</w:t>
      </w:r>
    </w:p>
    <w:p>
      <w:pPr>
        <w:pStyle w:val="Control"/>
        <w:spacing w:after="0"/>
      </w:pPr>
      <w:r>
        <w:t>{%p if assets | length %}</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68"/>
            <w:shd w:val="clear" w:color="auto" w:fill="D9E2F3"/>
          </w:tcPr>
          <w:p>
            <w:pPr>
              <w:pStyle w:val="TableHead"/>
            </w:pPr>
            <w:r>
              <w:t>Asset</w:t>
            </w:r>
          </w:p>
        </w:tc>
        <w:tc>
          <w:tcPr>
            <w:tcW w:type="dxa" w:w="2016"/>
            <w:shd w:val="clear" w:color="auto" w:fill="D9E2F3"/>
          </w:tcPr>
          <w:p>
            <w:pPr>
              <w:pStyle w:val="TableHead"/>
            </w:pPr>
            <w:r>
              <w:t>Character</w:t>
            </w:r>
          </w:p>
        </w:tc>
        <w:tc>
          <w:tcPr>
            <w:tcW w:type="dxa" w:w="4176"/>
            <w:shd w:val="clear" w:color="auto" w:fill="D9E2F3"/>
          </w:tcPr>
          <w:p>
            <w:pPr>
              <w:pStyle w:val="TableHead"/>
            </w:pPr>
            <w:r>
              <w:t>Action</w:t>
            </w:r>
          </w:p>
        </w:tc>
      </w:tr>
      <w:tr>
        <w:tc>
          <w:tcPr>
            <w:tcW w:type="dxa" w:w="3168"/>
          </w:tcPr>
          <w:p>
            <w:pPr>
              <w:pStyle w:val="TableText"/>
            </w:pPr>
            <w:r>
              <w:t>{%tr for a in assets %}</w:t>
            </w:r>
          </w:p>
        </w:tc>
        <w:tc>
          <w:tcPr>
            <w:tcW w:type="dxa" w:w="2016"/>
          </w:tcPr>
          <w:p>
            <w:pPr>
              <w:pStyle w:val="TableText"/>
            </w:pPr>
          </w:p>
        </w:tc>
        <w:tc>
          <w:tcPr>
            <w:tcW w:type="dxa" w:w="4176"/>
          </w:tcPr>
          <w:p>
            <w:pPr>
              <w:pStyle w:val="TableText"/>
            </w:pPr>
          </w:p>
        </w:tc>
      </w:tr>
      <w:tr>
        <w:tc>
          <w:tcPr>
            <w:tcW w:type="dxa" w:w="3168"/>
          </w:tcPr>
          <w:p>
            <w:pPr>
              <w:pStyle w:val="TableText"/>
            </w:pPr>
            <w:r>
              <w:t>{{ a.description }}{% if a.asset_type == "realprop" and a.apn %} (APN {{ a.apn }}){% endif %}</w:t>
            </w:r>
          </w:p>
        </w:tc>
        <w:tc>
          <w:tcPr>
            <w:tcW w:type="dxa" w:w="2016"/>
          </w:tcPr>
          <w:p>
            <w:pPr>
              <w:pStyle w:val="TableText"/>
            </w:pPr>
            <w:r>
              <w:t>{{ a.character_label(s1_name, s2_name) }}</w:t>
            </w:r>
          </w:p>
        </w:tc>
        <w:tc>
          <w:tcPr>
            <w:tcW w:type="dxa" w:w="4176"/>
          </w:tcPr>
          <w:p>
            <w:pPr>
              <w:pStyle w:val="TableText"/>
            </w:pPr>
            <w:r>
              <w:t>{{ a.funding_step(trust_title) }}</w:t>
            </w:r>
          </w:p>
        </w:tc>
      </w:tr>
      <w:tr>
        <w:tc>
          <w:tcPr>
            <w:tcW w:type="dxa" w:w="3168"/>
          </w:tcPr>
          <w:p>
            <w:pPr>
              <w:pStyle w:val="TableText"/>
            </w:pPr>
            <w:r>
              <w:t>{%tr endfor %}</w:t>
            </w:r>
          </w:p>
        </w:tc>
        <w:tc>
          <w:tcPr>
            <w:tcW w:type="dxa" w:w="2016"/>
          </w:tcPr>
          <w:p>
            <w:pPr>
              <w:pStyle w:val="TableText"/>
            </w:pPr>
          </w:p>
        </w:tc>
        <w:tc>
          <w:tcPr>
            <w:tcW w:type="dxa" w:w="4176"/>
          </w:tcPr>
          <w:p>
            <w:pPr>
              <w:pStyle w:val="TableText"/>
            </w:pPr>
          </w:p>
        </w:tc>
      </w:tr>
    </w:tbl>
    <w:p>
      <w:pPr>
        <w:spacing w:after="80"/>
      </w:pPr>
    </w:p>
    <w:p>
      <w:pPr>
        <w:pStyle w:val="Control"/>
        <w:spacing w:after="0"/>
      </w:pPr>
      <w:r>
        <w:t>{%p else %}</w:t>
      </w:r>
    </w:p>
    <w:p>
      <w:pPr>
        <w:pStyle w:val="Plain"/>
      </w:pPr>
      <w:r>
        <w:t>No assets were listed. Gather the deed for each parcel, recent statements for every account, and the beneficiary designation for every retirement account and insurance policy, then retitle each asset as described below.</w:t>
      </w:r>
    </w:p>
    <w:p>
      <w:pPr>
        <w:pStyle w:val="Control"/>
        <w:spacing w:after="0"/>
      </w:pPr>
      <w:r>
        <w:t>{%p endif %}</w:t>
      </w:r>
    </w:p>
    <w:p>
      <w:pPr>
        <w:pStyle w:val="BulletPlain"/>
      </w:pPr>
      <w:r>
        <w:t>•</w:t>
      </w:r>
      <w:r>
        <w:tab/>
      </w:r>
      <w:r>
        <w:t>Real property: trust transfer deed, PCOR (BOE-502-A), documentary transfer tax exemption noted (R&amp;T Code 11930).</w:t>
      </w:r>
    </w:p>
    <w:p>
      <w:pPr>
        <w:pStyle w:val="BulletPlain"/>
      </w:pPr>
      <w:r>
        <w:t>•</w:t>
      </w:r>
      <w:r>
        <w:tab/>
      </w:r>
      <w:r>
        <w:t>Bank and brokerage accounts: retitle to "{{ s1_name }} and {{ s2_name }}, Trustees of {{ trust_title }},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 using the Certification of Trust.</w:t>
      </w:r>
    </w:p>
    <w:p>
      <w:pPr>
        <w:pStyle w:val="BulletPlain"/>
      </w:pPr>
      <w:r>
        <w:t>•</w:t>
      </w:r>
      <w:r>
        <w:tab/>
      </w:r>
      <w:r>
        <w:t>Retirement accounts and life insurance: do not retitle; update beneficiary designations.</w:t>
      </w:r>
    </w:p>
    <w:p>
      <w:pPr>
        <w:pStyle w:val="BulletPlain"/>
      </w:pPr>
      <w:r>
        <w:t>•</w:t>
      </w:r>
      <w:r>
        <w:tab/>
      </w:r>
      <w:r>
        <w:t>Vehicles and household goods: covered by the General Assignment; DMV retitling is optional.</w:t>
      </w:r>
    </w:p>
    <w:p>
      <w:pPr>
        <w:pStyle w:val="MemoHeading"/>
      </w:pPr>
      <w:r>
        <w:t>6. Signing Instructions</w:t>
      </w:r>
    </w:p>
    <w:p>
      <w:pPr>
        <w:pStyle w:val="BulletPlain"/>
      </w:pPr>
      <w:r>
        <w:t>•</w:t>
      </w:r>
      <w:r>
        <w:tab/>
      </w:r>
      <w:r>
        <w:t>Trust Agreement: both spouses sign and initial each page; sign before a notary (acknowledgment attached).</w:t>
      </w:r>
    </w:p>
    <w:p>
      <w:pPr>
        <w:pStyle w:val="BulletPlain"/>
      </w:pPr>
      <w:r>
        <w:t>•</w:t>
      </w:r>
      <w:r>
        <w:tab/>
      </w:r>
      <w:r>
        <w:t>Certification of Trust and General Assignment: both spouses sign before a notary.</w:t>
      </w:r>
    </w:p>
    <w:p>
      <w:pPr>
        <w:pStyle w:val="BulletPlain"/>
      </w:pPr>
      <w:r>
        <w:t>•</w:t>
      </w:r>
      <w:r>
        <w:tab/>
      </w:r>
      <w:r>
        <w:t>{% if include_wills %}Pour-over wills: each spouse signs in the presence of two adult witnesses who are present at the same time (Prob. Code 6110). Use witnesses who are not beneficiaries (Prob. Code 6112). Wills are not notarized.{% else %}No wills were prepared; confirm the clients have current pour-over wills.{% endif %}</w:t>
      </w:r>
    </w:p>
    <w:p>
      <w:pPr>
        <w:pStyle w:val="BulletPlain"/>
      </w:pPr>
      <w:r>
        <w:t>•</w:t>
      </w:r>
      <w:r>
        <w:tab/>
      </w:r>
      <w:r>
        <w:t>Keep the original trust and wills in a safe place known to the successor trustee; give copies of the Certification of Trust to financial institutions.</w:t>
      </w:r>
    </w:p>
    <w:p>
      <w:pPr>
        <w:pStyle w:val="MemoHeading"/>
      </w:pPr>
      <w:r>
        <w:t>7. After the First Death</w:t>
      </w:r>
    </w:p>
    <w:p>
      <w:pPr>
        <w:pStyle w:val="BulletPlain"/>
      </w:pPr>
      <w:r>
        <w:t>•</w:t>
      </w:r>
      <w:r>
        <w:tab/>
      </w:r>
      <w:r>
        <w:t>Serve the trustee's notification under Prob. Code 16061.7 within 60 days (only for any part of the trust that becomes irrevocable).</w:t>
      </w:r>
    </w:p>
    <w:p>
      <w:pPr>
        <w:pStyle w:val="BulletPlain"/>
      </w:pPr>
      <w:r>
        <w:t>•</w:t>
      </w:r>
      <w:r>
        <w:tab/>
      </w:r>
      <w:r>
        <w:t>File a Change in Ownership Statement (Death of Real Property Owner, BOE-502-D) within 150 days (R&amp;T Code 480).</w:t>
      </w:r>
    </w:p>
    <w:p>
      <w:pPr>
        <w:pStyle w:val="BulletPlain"/>
      </w:pPr>
      <w:r>
        <w:t>•</w:t>
      </w:r>
      <w:r>
        <w:tab/>
      </w:r>
      <w:r>
        <w:t>Consider the portability election on Form 706: due nine months after death (fifteen with extension), or up to five years for estates not otherwise required to file (Rev. Proc. 2022-32).</w:t>
      </w:r>
    </w:p>
    <w:p>
      <w:pPr>
        <w:pStyle w:val="BulletPlain"/>
      </w:pPr>
      <w:r>
        <w:t>•</w:t>
      </w:r>
      <w:r>
        <w:tab/>
      </w:r>
      <w:r>
        <w:t>{% if plan_type == "disclaimer" %}Decide on any disclaimer within nine months, before the survivor accepts benefits.{% elif plan_type == "ab" %}Fund the Bypass Trust, obtain its EIN, and file Form 1041 each year.{% else %}Retitle the deceased spouse's interest if needed and obtain a basis step-up appraisal.{% endif %}</w:t>
      </w:r>
    </w:p>
    <w:sectPr w:rsidR="00FC693F" w:rsidRPr="0006063C" w:rsidSect="00034616">
      <w:footerReference w:type="default" r:id="rId9"/>
      <w:pgSz w:w="12240" w:h="15840"/>
      <w:pgMar w:top="1440"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Plan Summary | {{ trust_title }} | Privileged and Confidential</w:t>
    </w:r>
  </w:p>
  <w:p>
    <w:pPr>
      <w:pStyle w:val="Footer"/>
      <w:jc w:val="center"/>
    </w:pPr>
    <w:r>
      <w:t xml:space="preserve">Page </w:t>
    </w:r>
    <w:fldSimple w:instr=" PAGE \* MERGEFORMAT ">
      <w:r>
        <w:t>1</w:t>
      </w:r>
    </w:fldSimple>
    <w:r>
      <w:t xml:space="preserve"> of </w:t>
    </w:r>
    <w:fldSimple w:instr=" NUMPAGES \* MERGEFORMAT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imes New Roman" w:hAnsi="Times New Roman" w:eastAsia="Times New Roman" w:cs="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keepNext/>
      <w:spacing w:after="120"/>
      <w:jc w:val="center"/>
    </w:pPr>
    <w:rPr>
      <w:rFonts w:ascii="Times New Roman" w:hAnsi="Times New Roman" w:eastAsia="Times New Roman" w:cs="Times New Roman"/>
      <w:b/>
      <w:caps/>
      <w:color w:val="000000"/>
      <w:sz w:val="32"/>
    </w:rPr>
  </w:style>
  <w:style w:type="paragraph" w:customStyle="1" w:styleId="DocSubtitle">
    <w:name w:val="Doc Subtitle"/>
    <w:basedOn w:val="Normal"/>
    <w:pPr>
      <w:keepNext/>
      <w:spacing w:after="120"/>
      <w:jc w:val="center"/>
    </w:pPr>
    <w:rPr>
      <w:rFonts w:ascii="Times New Roman" w:hAnsi="Times New Roman" w:eastAsia="Times New Roman" w:cs="Times New Roman"/>
      <w:i/>
      <w:color w:val="000000"/>
      <w:sz w:val="24"/>
    </w:rPr>
  </w:style>
  <w:style w:type="paragraph" w:customStyle="1" w:styleId="Center">
    <w:name w:val="Center"/>
    <w:basedOn w:val="Normal"/>
    <w:pPr>
      <w:keepNext w:val="0"/>
      <w:jc w:val="center"/>
    </w:pPr>
    <w:rPr>
      <w:rFonts w:ascii="Times New Roman" w:hAnsi="Times New Roman" w:eastAsia="Times New Roman" w:cs="Times New Roman"/>
      <w:color w:val="000000"/>
      <w:sz w:val="24"/>
    </w:rPr>
  </w:style>
  <w:style w:type="paragraph" w:customStyle="1" w:styleId="CenterBold">
    <w:name w:val="Center Bold"/>
    <w:basedOn w:val="Normal"/>
    <w:pPr>
      <w:keepNext/>
      <w:jc w:val="center"/>
    </w:pPr>
    <w:rPr>
      <w:rFonts w:ascii="Times New Roman" w:hAnsi="Times New Roman" w:eastAsia="Times New Roman" w:cs="Times New Roman"/>
      <w:b/>
      <w:color w:val="000000"/>
      <w:sz w:val="24"/>
    </w:rPr>
  </w:style>
  <w:style w:type="paragraph" w:customStyle="1" w:styleId="TrustSection">
    <w:name w:val="Trust Section"/>
    <w:basedOn w:val="Normal"/>
    <w:pPr>
      <w:keepNext w:val="0"/>
      <w:jc w:val="both"/>
    </w:pPr>
    <w:rPr>
      <w:rFonts w:ascii="Times New Roman" w:hAnsi="Times New Roman" w:eastAsia="Times New Roman" w:cs="Times New Roman"/>
      <w:color w:val="000000"/>
      <w:sz w:val="24"/>
    </w:rPr>
  </w:style>
  <w:style w:type="paragraph" w:customStyle="1" w:styleId="TrustSub">
    <w:name w:val="Trust Sub"/>
    <w:basedOn w:val="Normal"/>
    <w:pPr>
      <w:keepNext w:val="0"/>
      <w:jc w:val="both"/>
    </w:pPr>
    <w:rPr>
      <w:rFonts w:ascii="Times New Roman" w:hAnsi="Times New Roman" w:eastAsia="Times New Roman" w:cs="Times New Roman"/>
      <w:color w:val="000000"/>
      <w:sz w:val="24"/>
    </w:rPr>
  </w:style>
  <w:style w:type="paragraph" w:customStyle="1" w:styleId="TrustSubSub">
    <w:name w:val="Trust SubSub"/>
    <w:basedOn w:val="Normal"/>
    <w:pPr>
      <w:keepNext w:val="0"/>
      <w:jc w:val="both"/>
    </w:pPr>
    <w:rPr>
      <w:rFonts w:ascii="Times New Roman" w:hAnsi="Times New Roman" w:eastAsia="Times New Roman" w:cs="Times New Roman"/>
      <w:color w:val="000000"/>
      <w:sz w:val="24"/>
    </w:rPr>
  </w:style>
  <w:style w:type="paragraph" w:customStyle="1" w:styleId="Body">
    <w:name w:val="Body"/>
    <w:basedOn w:val="Normal"/>
    <w:pPr>
      <w:keepNext w:val="0"/>
      <w:ind w:firstLine="720"/>
      <w:jc w:val="both"/>
    </w:pPr>
    <w:rPr>
      <w:rFonts w:ascii="Times New Roman" w:hAnsi="Times New Roman" w:eastAsia="Times New Roman" w:cs="Times New Roman"/>
      <w:color w:val="000000"/>
      <w:sz w:val="24"/>
    </w:rPr>
  </w:style>
  <w:style w:type="paragraph" w:customStyle="1" w:styleId="BodyIndent">
    <w:name w:val="Body Indent"/>
    <w:basedOn w:val="Normal"/>
    <w:pPr>
      <w:keepNext w:val="0"/>
      <w:ind w:left="1440"/>
      <w:jc w:val="both"/>
    </w:pPr>
    <w:rPr>
      <w:rFonts w:ascii="Times New Roman" w:hAnsi="Times New Roman" w:eastAsia="Times New Roman" w:cs="Times New Roman"/>
      <w:color w:val="000000"/>
      <w:sz w:val="24"/>
    </w:rPr>
  </w:style>
  <w:style w:type="paragraph" w:customStyle="1" w:styleId="Plain">
    <w:name w:val="Plain"/>
    <w:basedOn w:val="Normal"/>
    <w:pPr>
      <w:keepNext w:val="0"/>
      <w:jc w:val="both"/>
    </w:pPr>
    <w:rPr>
      <w:rFonts w:ascii="Times New Roman" w:hAnsi="Times New Roman" w:eastAsia="Times New Roman" w:cs="Times New Roman"/>
      <w:color w:val="000000"/>
      <w:sz w:val="24"/>
    </w:rPr>
  </w:style>
  <w:style w:type="paragraph" w:customStyle="1" w:styleId="PlainLeft">
    <w:name w:val="Plain Left"/>
    <w:basedOn w:val="Normal"/>
    <w:pPr>
      <w:keepNext w:val="0"/>
      <w:jc w:val="left"/>
    </w:pPr>
    <w:rPr>
      <w:rFonts w:ascii="Times New Roman" w:hAnsi="Times New Roman" w:eastAsia="Times New Roman" w:cs="Times New Roman"/>
      <w:color w:val="000000"/>
      <w:sz w:val="24"/>
    </w:rPr>
  </w:style>
  <w:style w:type="paragraph" w:customStyle="1" w:styleId="Hang">
    <w:name w:val="Hang"/>
    <w:basedOn w:val="Normal"/>
    <w:pPr>
      <w:keepNext w:val="0"/>
      <w:ind w:left="720" w:hanging="720"/>
      <w:jc w:val="both"/>
    </w:pPr>
    <w:rPr>
      <w:rFonts w:ascii="Times New Roman" w:hAnsi="Times New Roman" w:eastAsia="Times New Roman" w:cs="Times New Roman"/>
      <w:color w:val="000000"/>
      <w:sz w:val="24"/>
    </w:rPr>
  </w:style>
  <w:style w:type="paragraph" w:customStyle="1" w:styleId="BulletPlain">
    <w:name w:val="Bullet Plain"/>
    <w:basedOn w:val="Normal"/>
    <w:pPr>
      <w:keepNext w:val="0"/>
      <w:spacing w:after="80"/>
      <w:ind w:left="720" w:hanging="360"/>
      <w:jc w:val="left"/>
    </w:pPr>
    <w:rPr>
      <w:rFonts w:ascii="Times New Roman" w:hAnsi="Times New Roman" w:eastAsia="Times New Roman" w:cs="Times New Roman"/>
      <w:color w:val="000000"/>
      <w:sz w:val="24"/>
    </w:rPr>
  </w:style>
  <w:style w:type="paragraph" w:customStyle="1" w:styleId="SigLine">
    <w:name w:val="Sig Line"/>
    <w:basedOn w:val="Normal"/>
    <w:pPr>
      <w:keepNext/>
      <w:spacing w:before="600" w:after="0"/>
      <w:ind w:left="4320"/>
      <w:jc w:val="left"/>
    </w:pPr>
    <w:rPr>
      <w:rFonts w:ascii="Times New Roman" w:hAnsi="Times New Roman" w:eastAsia="Times New Roman" w:cs="Times New Roman"/>
      <w:color w:val="000000"/>
      <w:sz w:val="24"/>
    </w:rPr>
  </w:style>
  <w:style w:type="paragraph" w:customStyle="1" w:styleId="SigName">
    <w:name w:val="Sig Name"/>
    <w:basedOn w:val="Normal"/>
    <w:pPr>
      <w:keepNext/>
      <w:spacing w:after="120"/>
      <w:ind w:left="4320"/>
      <w:jc w:val="left"/>
    </w:pPr>
    <w:rPr>
      <w:rFonts w:ascii="Times New Roman" w:hAnsi="Times New Roman" w:eastAsia="Times New Roman" w:cs="Times New Roman"/>
      <w:color w:val="000000"/>
      <w:sz w:val="24"/>
    </w:rPr>
  </w:style>
  <w:style w:type="paragraph" w:customStyle="1" w:styleId="ScheduleTitle">
    <w:name w:val="Schedule Title"/>
    <w:basedOn w:val="Normal"/>
    <w:pPr>
      <w:keepNext/>
      <w:spacing w:after="80"/>
      <w:jc w:val="center"/>
    </w:pPr>
    <w:rPr>
      <w:rFonts w:ascii="Times New Roman" w:hAnsi="Times New Roman" w:eastAsia="Times New Roman" w:cs="Times New Roman"/>
      <w:b/>
      <w:caps/>
      <w:color w:val="000000"/>
      <w:sz w:val="24"/>
    </w:rPr>
  </w:style>
  <w:style w:type="paragraph" w:customStyle="1" w:styleId="Small">
    <w:name w:val="Small"/>
    <w:basedOn w:val="Normal"/>
    <w:pPr>
      <w:keepNext w:val="0"/>
      <w:spacing w:after="80"/>
      <w:jc w:val="both"/>
    </w:pPr>
    <w:rPr>
      <w:rFonts w:ascii="Times New Roman" w:hAnsi="Times New Roman" w:eastAsia="Times New Roman" w:cs="Times New Roman"/>
      <w:color w:val="000000"/>
      <w:sz w:val="20"/>
    </w:rPr>
  </w:style>
  <w:style w:type="paragraph" w:customStyle="1" w:styleId="TableText">
    <w:name w:val="Table Text"/>
    <w:basedOn w:val="Normal"/>
    <w:pPr>
      <w:keepNext w:val="0"/>
      <w:spacing w:after="0"/>
      <w:jc w:val="left"/>
    </w:pPr>
    <w:rPr>
      <w:rFonts w:ascii="Times New Roman" w:hAnsi="Times New Roman" w:eastAsia="Times New Roman" w:cs="Times New Roman"/>
      <w:color w:val="000000"/>
      <w:sz w:val="20"/>
    </w:rPr>
  </w:style>
  <w:style w:type="paragraph" w:customStyle="1" w:styleId="TableHead">
    <w:name w:val="Table Head"/>
    <w:basedOn w:val="Normal"/>
    <w:pPr>
      <w:keepNext w:val="0"/>
      <w:spacing w:after="0"/>
      <w:jc w:val="left"/>
    </w:pPr>
    <w:rPr>
      <w:rFonts w:ascii="Times New Roman" w:hAnsi="Times New Roman" w:eastAsia="Times New Roman" w:cs="Times New Roman"/>
      <w:b/>
      <w:color w:val="000000"/>
      <w:sz w:val="20"/>
    </w:rPr>
  </w:style>
  <w:style w:type="paragraph" w:customStyle="1" w:styleId="MemoHeading">
    <w:name w:val="Memo Heading"/>
    <w:basedOn w:val="Normal"/>
    <w:pPr>
      <w:keepNext/>
      <w:spacing w:before="240" w:after="120"/>
    </w:pPr>
    <w:rPr>
      <w:rFonts w:ascii="Times New Roman" w:hAnsi="Times New Roman" w:eastAsia="Times New Roman" w:cs="Times New Roman"/>
      <w:b/>
      <w:color w:val="000000"/>
      <w:sz w:val="26"/>
    </w:rPr>
  </w:style>
  <w:style w:type="paragraph" w:customStyle="1" w:styleId="Control">
    <w:name w:val="Control"/>
    <w:basedOn w:val="Normal"/>
    <w:pPr>
      <w:keepNext w:val="0"/>
    </w:pPr>
    <w:rPr>
      <w:rFonts w:ascii="Times New Roman" w:hAnsi="Times New Roman" w:eastAsia="Times New Roman" w:cs="Times New Roman"/>
      <w:color w:val="000000"/>
      <w:sz w:val="2"/>
    </w:rPr>
  </w:style>
  <w:style w:type="paragraph" w:customStyle="1" w:styleId="ContentsLine">
    <w:name w:val="Contents Line"/>
    <w:basedOn w:val="Normal"/>
    <w:pPr>
      <w:keepNext w:val="0"/>
      <w:tabs>
        <w:tab w:pos="3744" w:val="left"/>
      </w:tabs>
      <w:spacing w:after="60"/>
      <w:ind w:left="1440"/>
    </w:pPr>
    <w:rPr>
      <w:rFonts w:ascii="Times New Roman" w:hAnsi="Times New Roman" w:eastAsia="Times New Roman" w:cs="Times New Roman"/>
      <w:color w:val="000000"/>
      <w:sz w:val="24"/>
    </w:rPr>
  </w:style>
  <w:style w:type="paragraph" w:customStyle="1" w:styleId="TOC1">
    <w:name w:val="TOC 1"/>
    <w:basedOn w:val="Normal"/>
    <w:pPr>
      <w:keepNext w:val="0"/>
      <w:tabs>
        <w:tab w:pos="9360" w:val="right" w:leader="dot"/>
      </w:tabs>
      <w:spacing w:after="80"/>
    </w:pPr>
    <w:rPr>
      <w:rFonts w:ascii="Times New Roman" w:hAnsi="Times New Roman" w:eastAsia="Times New Roman" w:cs="Times New Roman"/>
      <w:color w:val="000000"/>
      <w:sz w:val="24"/>
    </w:rPr>
  </w:style>
  <w:style w:type="paragraph" w:customStyle="1" w:styleId="Contents1">
    <w:name w:val="Contents 1"/>
    <w:basedOn w:val="Normal"/>
    <w:pPr>
      <w:keepNext w:val="0"/>
      <w:tabs>
        <w:tab w:pos="9360" w:val="right" w:leader="dot"/>
      </w:tabs>
      <w:spacing w:after="8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