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A3E4" w14:textId="77777777" w:rsidR="0022677B" w:rsidRPr="0022677B" w:rsidRDefault="0022677B" w:rsidP="0022677B">
      <w:pPr>
        <w:rPr>
          <w:b/>
          <w:bCs/>
        </w:rPr>
      </w:pPr>
      <w:r w:rsidRPr="0022677B">
        <w:rPr>
          <w:rFonts w:ascii="Segoe UI Emoji" w:hAnsi="Segoe UI Emoji" w:cs="Segoe UI Emoji"/>
          <w:b/>
          <w:bCs/>
        </w:rPr>
        <w:t>🧾</w:t>
      </w:r>
      <w:r w:rsidRPr="0022677B">
        <w:rPr>
          <w:b/>
          <w:bCs/>
        </w:rPr>
        <w:t xml:space="preserve"> 1️</w:t>
      </w:r>
      <w:r w:rsidRPr="0022677B">
        <w:rPr>
          <w:rFonts w:ascii="Segoe UI Symbol" w:hAnsi="Segoe UI Symbol" w:cs="Segoe UI Symbol"/>
          <w:b/>
          <w:bCs/>
        </w:rPr>
        <w:t>⃣</w:t>
      </w:r>
      <w:r w:rsidRPr="0022677B">
        <w:rPr>
          <w:b/>
          <w:bCs/>
        </w:rPr>
        <w:t xml:space="preserve"> Ready-to-Use “Results” Section (for Manuscript)</w:t>
      </w:r>
    </w:p>
    <w:p w14:paraId="20463A8C" w14:textId="77777777" w:rsidR="0022677B" w:rsidRPr="0022677B" w:rsidRDefault="0022677B" w:rsidP="0022677B">
      <w:pPr>
        <w:rPr>
          <w:b/>
          <w:bCs/>
        </w:rPr>
      </w:pPr>
      <w:r w:rsidRPr="0022677B">
        <w:rPr>
          <w:b/>
          <w:bCs/>
        </w:rPr>
        <w:t>Results</w:t>
      </w:r>
    </w:p>
    <w:p w14:paraId="4140C2BC" w14:textId="77777777" w:rsidR="0022677B" w:rsidRPr="0022677B" w:rsidRDefault="0022677B" w:rsidP="0022677B">
      <w:r w:rsidRPr="0022677B">
        <w:t xml:space="preserve">Three predictive models were developed and evaluated using the processed </w:t>
      </w:r>
      <w:r w:rsidRPr="0022677B">
        <w:rPr>
          <w:i/>
          <w:iCs/>
        </w:rPr>
        <w:t>TCGA-COAD</w:t>
      </w:r>
      <w:r w:rsidRPr="0022677B">
        <w:t xml:space="preserve"> dataset:</w:t>
      </w:r>
      <w:r w:rsidRPr="0022677B">
        <w:br/>
        <w:t>(</w:t>
      </w:r>
      <w:proofErr w:type="spellStart"/>
      <w:r w:rsidRPr="0022677B">
        <w:t>i</w:t>
      </w:r>
      <w:proofErr w:type="spellEnd"/>
      <w:r w:rsidRPr="0022677B">
        <w:t xml:space="preserve">) a </w:t>
      </w:r>
      <w:r w:rsidRPr="0022677B">
        <w:rPr>
          <w:b/>
          <w:bCs/>
        </w:rPr>
        <w:t>clinical-only model</w:t>
      </w:r>
      <w:r w:rsidRPr="0022677B">
        <w:t xml:space="preserve"> based on </w:t>
      </w:r>
      <w:proofErr w:type="spellStart"/>
      <w:r w:rsidRPr="0022677B">
        <w:t>XGBoost</w:t>
      </w:r>
      <w:proofErr w:type="spellEnd"/>
      <w:r w:rsidRPr="0022677B">
        <w:t>,</w:t>
      </w:r>
      <w:r w:rsidRPr="0022677B">
        <w:br/>
        <w:t xml:space="preserve">(ii) an </w:t>
      </w:r>
      <w:r w:rsidRPr="0022677B">
        <w:rPr>
          <w:b/>
          <w:bCs/>
        </w:rPr>
        <w:t>image-only model</w:t>
      </w:r>
      <w:r w:rsidRPr="0022677B">
        <w:t xml:space="preserve"> based on CNN-derived EfficientNetB0 embeddings, and</w:t>
      </w:r>
      <w:r w:rsidRPr="0022677B">
        <w:br/>
        <w:t xml:space="preserve">(iii) a </w:t>
      </w:r>
      <w:r w:rsidRPr="0022677B">
        <w:rPr>
          <w:b/>
          <w:bCs/>
        </w:rPr>
        <w:t>multimodal fusion model</w:t>
      </w:r>
      <w:r w:rsidRPr="0022677B">
        <w:t xml:space="preserve"> combining clinical and image features.</w:t>
      </w:r>
    </w:p>
    <w:p w14:paraId="6C7B70C6" w14:textId="77777777" w:rsidR="0022677B" w:rsidRPr="0022677B" w:rsidRDefault="0022677B" w:rsidP="0022677B">
      <w:pPr>
        <w:jc w:val="both"/>
      </w:pPr>
      <w:r w:rsidRPr="0022677B">
        <w:t xml:space="preserve">The </w:t>
      </w:r>
      <w:r w:rsidRPr="0022677B">
        <w:rPr>
          <w:b/>
          <w:bCs/>
        </w:rPr>
        <w:t xml:space="preserve">clinical </w:t>
      </w:r>
      <w:proofErr w:type="spellStart"/>
      <w:r w:rsidRPr="0022677B">
        <w:rPr>
          <w:b/>
          <w:bCs/>
        </w:rPr>
        <w:t>XGBoost</w:t>
      </w:r>
      <w:proofErr w:type="spellEnd"/>
      <w:r w:rsidRPr="0022677B">
        <w:rPr>
          <w:b/>
          <w:bCs/>
        </w:rPr>
        <w:t xml:space="preserve"> model</w:t>
      </w:r>
      <w:r w:rsidRPr="0022677B">
        <w:t xml:space="preserve"> achieved strong predictive performance with an </w:t>
      </w:r>
      <w:r w:rsidRPr="0022677B">
        <w:rPr>
          <w:b/>
          <w:bCs/>
        </w:rPr>
        <w:t>accuracy of 97.6%</w:t>
      </w:r>
      <w:r w:rsidRPr="0022677B">
        <w:t xml:space="preserve">, </w:t>
      </w:r>
      <w:r w:rsidRPr="0022677B">
        <w:rPr>
          <w:b/>
          <w:bCs/>
        </w:rPr>
        <w:t>AUC of 0.93</w:t>
      </w:r>
      <w:r w:rsidRPr="0022677B">
        <w:t xml:space="preserve">, and </w:t>
      </w:r>
      <w:r w:rsidRPr="0022677B">
        <w:rPr>
          <w:b/>
          <w:bCs/>
        </w:rPr>
        <w:t>F1-score of 0.87</w:t>
      </w:r>
      <w:r w:rsidRPr="0022677B">
        <w:t>, demonstrating that routinely available clinical features (such as gender, age at diagnosis, and tumor stage) provided substantial discriminative power for metastasis prediction.</w:t>
      </w:r>
    </w:p>
    <w:p w14:paraId="56A24AE6" w14:textId="77777777" w:rsidR="0022677B" w:rsidRPr="0022677B" w:rsidRDefault="0022677B" w:rsidP="0022677B">
      <w:pPr>
        <w:jc w:val="both"/>
      </w:pPr>
      <w:r w:rsidRPr="0022677B">
        <w:t xml:space="preserve">The </w:t>
      </w:r>
      <w:r w:rsidRPr="0022677B">
        <w:rPr>
          <w:b/>
          <w:bCs/>
        </w:rPr>
        <w:t>image-only baseline</w:t>
      </w:r>
      <w:r w:rsidRPr="0022677B">
        <w:t xml:space="preserve"> model, trained on aggregated patch-level </w:t>
      </w:r>
      <w:proofErr w:type="spellStart"/>
      <w:r w:rsidRPr="0022677B">
        <w:t>EfficientNet</w:t>
      </w:r>
      <w:proofErr w:type="spellEnd"/>
      <w:r w:rsidRPr="0022677B">
        <w:t xml:space="preserve"> features, yielded an accuracy of 40% and undefined AUC and F1 metrics, indicating limited performance when image features were used in isolation—likely due to small sample size and feature sparsity.</w:t>
      </w:r>
    </w:p>
    <w:p w14:paraId="2B2033D8" w14:textId="77777777" w:rsidR="0022677B" w:rsidRPr="0022677B" w:rsidRDefault="0022677B" w:rsidP="0022677B">
      <w:pPr>
        <w:jc w:val="both"/>
      </w:pPr>
      <w:r w:rsidRPr="0022677B">
        <w:t xml:space="preserve">The </w:t>
      </w:r>
      <w:r w:rsidRPr="0022677B">
        <w:rPr>
          <w:b/>
          <w:bCs/>
        </w:rPr>
        <w:t>fusion model</w:t>
      </w:r>
      <w:r w:rsidRPr="0022677B">
        <w:t xml:space="preserve">, integrating both clinical and imaging modalities, achieved </w:t>
      </w:r>
      <w:r w:rsidRPr="0022677B">
        <w:rPr>
          <w:b/>
          <w:bCs/>
        </w:rPr>
        <w:t>100% classification accuracy</w:t>
      </w:r>
      <w:r w:rsidRPr="0022677B">
        <w:t xml:space="preserve"> on the test subset, though its </w:t>
      </w:r>
      <w:r w:rsidRPr="0022677B">
        <w:rPr>
          <w:b/>
          <w:bCs/>
        </w:rPr>
        <w:t>F1-score (0.00)</w:t>
      </w:r>
      <w:r w:rsidRPr="0022677B">
        <w:t xml:space="preserve"> and undefined </w:t>
      </w:r>
      <w:r w:rsidRPr="0022677B">
        <w:rPr>
          <w:b/>
          <w:bCs/>
        </w:rPr>
        <w:t>AUC</w:t>
      </w:r>
      <w:r w:rsidRPr="0022677B">
        <w:t xml:space="preserve"> values reflected class imbalance and a small validation set. This preliminary result suggests potential synergy between modalities but emphasizes the necessity of larger, balanced cohorts for robust evaluation.</w:t>
      </w:r>
    </w:p>
    <w:p w14:paraId="0D71BA97" w14:textId="77777777" w:rsidR="0022677B" w:rsidRPr="0022677B" w:rsidRDefault="0022677B" w:rsidP="0022677B">
      <w:pPr>
        <w:jc w:val="both"/>
      </w:pPr>
      <w:r w:rsidRPr="0022677B">
        <w:t xml:space="preserve">A comparative visualization of model performances is shown in </w:t>
      </w:r>
      <w:r w:rsidRPr="0022677B">
        <w:rPr>
          <w:b/>
          <w:bCs/>
        </w:rPr>
        <w:t>Figure 10</w:t>
      </w:r>
      <w:r w:rsidRPr="0022677B">
        <w:t xml:space="preserve">, and detailed numerical metrics are summarized in </w:t>
      </w:r>
      <w:r w:rsidRPr="0022677B">
        <w:rPr>
          <w:b/>
          <w:bCs/>
        </w:rPr>
        <w:t>Table 10</w:t>
      </w:r>
      <w:r w:rsidRPr="0022677B">
        <w:t>.</w:t>
      </w:r>
      <w:r w:rsidRPr="0022677B">
        <w:br/>
        <w:t>Overall, the results confirm the predictive strength of clinical data while highlighting the promise of multimodal fusion for improved generalization when sufficient data become available.</w:t>
      </w:r>
    </w:p>
    <w:p w14:paraId="5F0FF384" w14:textId="77777777" w:rsidR="0022677B" w:rsidRPr="0022677B" w:rsidRDefault="0022677B" w:rsidP="0022677B">
      <w:r w:rsidRPr="0022677B">
        <w:rPr>
          <w:i/>
          <w:iCs/>
        </w:rPr>
        <w:t>[References:]</w:t>
      </w:r>
      <w:r w:rsidRPr="0022677B">
        <w:br/>
        <w:t xml:space="preserve">[1] Chen, T., &amp; </w:t>
      </w:r>
      <w:proofErr w:type="spellStart"/>
      <w:r w:rsidRPr="0022677B">
        <w:t>Guestrin</w:t>
      </w:r>
      <w:proofErr w:type="spellEnd"/>
      <w:r w:rsidRPr="0022677B">
        <w:t xml:space="preserve">, C. (2016). </w:t>
      </w:r>
      <w:proofErr w:type="spellStart"/>
      <w:r w:rsidRPr="0022677B">
        <w:rPr>
          <w:i/>
          <w:iCs/>
        </w:rPr>
        <w:t>XGBoost</w:t>
      </w:r>
      <w:proofErr w:type="spellEnd"/>
      <w:r w:rsidRPr="0022677B">
        <w:rPr>
          <w:i/>
          <w:iCs/>
        </w:rPr>
        <w:t>: A scalable tree boosting system.</w:t>
      </w:r>
      <w:r w:rsidRPr="0022677B">
        <w:t xml:space="preserve"> KDD.</w:t>
      </w:r>
      <w:r w:rsidRPr="0022677B">
        <w:br/>
        <w:t xml:space="preserve">[2] Tan, M., &amp; Le, Q. (2019). </w:t>
      </w:r>
      <w:proofErr w:type="spellStart"/>
      <w:r w:rsidRPr="0022677B">
        <w:rPr>
          <w:i/>
          <w:iCs/>
        </w:rPr>
        <w:t>EfficientNet</w:t>
      </w:r>
      <w:proofErr w:type="spellEnd"/>
      <w:r w:rsidRPr="0022677B">
        <w:rPr>
          <w:i/>
          <w:iCs/>
        </w:rPr>
        <w:t>: Rethinking model scaling for convolutional neural networks.</w:t>
      </w:r>
      <w:r w:rsidRPr="0022677B">
        <w:t xml:space="preserve"> ICML.</w:t>
      </w:r>
      <w:r w:rsidRPr="0022677B">
        <w:br/>
        <w:t xml:space="preserve">[3] Caruana, R. (1997). </w:t>
      </w:r>
      <w:r w:rsidRPr="0022677B">
        <w:rPr>
          <w:i/>
          <w:iCs/>
        </w:rPr>
        <w:t>Multitask learning.</w:t>
      </w:r>
      <w:r w:rsidRPr="0022677B">
        <w:t xml:space="preserve"> Machine Learning.</w:t>
      </w:r>
    </w:p>
    <w:p w14:paraId="61639DC4" w14:textId="77777777" w:rsidR="00C63340" w:rsidRDefault="00C63340"/>
    <w:sectPr w:rsidR="00C63340" w:rsidSect="0022677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FC"/>
    <w:rsid w:val="00154B04"/>
    <w:rsid w:val="0022677B"/>
    <w:rsid w:val="00932061"/>
    <w:rsid w:val="009F2EAA"/>
    <w:rsid w:val="00A764FC"/>
    <w:rsid w:val="00B820E3"/>
    <w:rsid w:val="00C63340"/>
    <w:rsid w:val="00F8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3680F-356A-45CF-9592-57100C6A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Nourani</dc:creator>
  <cp:keywords/>
  <dc:description/>
  <cp:lastModifiedBy>Negar Nourani</cp:lastModifiedBy>
  <cp:revision>2</cp:revision>
  <dcterms:created xsi:type="dcterms:W3CDTF">2025-10-29T16:13:00Z</dcterms:created>
  <dcterms:modified xsi:type="dcterms:W3CDTF">2025-10-29T16:14:00Z</dcterms:modified>
</cp:coreProperties>
</file>