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F4E79"/>
          <w:sz w:val="56"/>
          <w:szCs w:val="56"/>
        </w:rPr>
        <w:t xml:space="preserve">SEESAW MODEL</w:t>
      </w:r>
    </w:p>
    <w:p>
      <w:pPr>
        <w:spacing w:after="100"/>
        <w:jc w:val="center"/>
      </w:pPr>
      <w:r>
        <w:rPr>
          <w:rFonts w:ascii="Arial" w:cs="Arial" w:eastAsia="Arial" w:hAnsi="Arial"/>
          <w:b/>
          <w:bCs/>
          <w:color w:val="1F4E79"/>
          <w:sz w:val="44"/>
          <w:szCs w:val="44"/>
        </w:rPr>
        <w:t xml:space="preserve">PROJECT PLAN</w:t>
      </w:r>
    </w:p>
    <w:p>
      <w:pPr>
        <w:pBdr>
          <w:bottom w:val="single" w:color="1F4E79" w:sz="6" w:space="1"/>
        </w:pBdr>
        <w:spacing w:after="600"/>
        <w:jc w:val="center"/>
      </w:pPr>
    </w:p>
    <w:p>
      <w:pPr>
        <w:spacing w:after="100"/>
        <w:jc w:val="center"/>
      </w:pPr>
      <w:r>
        <w:rPr>
          <w:rFonts w:ascii="Arial" w:cs="Arial" w:eastAsia="Arial" w:hAnsi="Arial"/>
          <w:color w:val="666666"/>
          <w:sz w:val="24"/>
          <w:szCs w:val="24"/>
        </w:rPr>
        <w:t xml:space="preserve">Quanser SEESAW-E + IP02 System</w:t>
      </w:r>
    </w:p>
    <w:p>
      <w:pPr>
        <w:spacing w:after="100"/>
        <w:jc w:val="center"/>
      </w:pPr>
      <w:r>
        <w:rPr>
          <w:rFonts w:ascii="Arial" w:cs="Arial" w:eastAsia="Arial" w:hAnsi="Arial"/>
          <w:i/>
          <w:iCs/>
          <w:color w:val="666666"/>
          <w:sz w:val="22"/>
          <w:szCs w:val="22"/>
        </w:rPr>
        <w:t xml:space="preserve">First-Principles Mathematical Model — From Scratch</w:t>
      </w:r>
    </w:p>
    <w:p>
      <w:pPr>
        <w:spacing w:before="1200"/>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Diagnosis: Why the Previous Model Failed</w:t>
      </w:r>
    </w:p>
    <w:p>
      <w:pPr>
        <w:spacing w:after="120"/>
        <w:jc w:val="left"/>
      </w:pPr>
      <w:r>
        <w:rPr>
          <w:rFonts w:ascii="Arial" w:cs="Arial" w:eastAsia="Arial" w:hAnsi="Arial"/>
          <w:sz w:val="20"/>
          <w:szCs w:val="20"/>
        </w:rPr>
        <w:t xml:space="preserve">Before rebuilding, it is critical to understand what went wrong. Based on the symptoms described — a sinusoidal input where the real system saturates and flattens peaks while the simulation does not, and the output amplitude is too high despite correct phase — the following root causes are the most likely culprits.</w:t>
      </w:r>
    </w:p>
    <w:p>
      <w:pPr>
        <w:pStyle w:val="Heading2"/>
        <w:spacing w:after="160" w:before="280"/>
      </w:pPr>
      <w:r>
        <w:rPr>
          <w:rFonts w:ascii="Arial" w:cs="Arial" w:eastAsia="Arial" w:hAnsi="Arial"/>
          <w:b/>
          <w:bCs/>
          <w:color w:val="1F4E79"/>
          <w:sz w:val="26"/>
          <w:szCs w:val="26"/>
        </w:rPr>
        <w:t xml:space="preserve">1.1 Voltage Saturation Not Modeled</w:t>
      </w:r>
    </w:p>
    <w:p>
      <w:pPr>
        <w:spacing w:after="120"/>
      </w:pPr>
      <w:r>
        <w:rPr>
          <w:rFonts w:ascii="Arial" w:cs="Arial" w:eastAsia="Arial" w:hAnsi="Arial"/>
          <w:sz w:val="20"/>
          <w:szCs w:val="20"/>
        </w:rPr>
        <w:t xml:space="preserve">The VoltPAQ-X1 amplifier can only supply approximately </w:t>
      </w:r>
      <w:r>
        <w:rPr>
          <w:rFonts w:ascii="Arial" w:cs="Arial" w:eastAsia="Arial" w:hAnsi="Arial"/>
          <w:b/>
          <w:bCs/>
          <w:sz w:val="20"/>
          <w:szCs w:val="20"/>
        </w:rPr>
        <w:t xml:space="preserve">±24 V</w:t>
      </w:r>
      <w:r>
        <w:rPr>
          <w:rFonts w:ascii="Arial" w:cs="Arial" w:eastAsia="Arial" w:hAnsi="Arial"/>
          <w:sz w:val="20"/>
          <w:szCs w:val="20"/>
        </w:rPr>
        <w:t xml:space="preserve"> to the motor. When the simulation commands a voltage beyond this range, the real amplifier clips the signal (hence the flattened peaks), but the simulation happily passes the full voltage through. </w:t>
      </w:r>
      <w:r>
        <w:rPr>
          <w:rFonts w:ascii="Arial" w:cs="Arial" w:eastAsia="Arial" w:hAnsi="Arial"/>
          <w:b/>
          <w:bCs/>
          <w:color w:val="C00000"/>
          <w:sz w:val="20"/>
          <w:szCs w:val="20"/>
        </w:rPr>
        <w:t xml:space="preserve">This is the single most likely cause of the observed behavior.</w:t>
      </w:r>
    </w:p>
    <w:p>
      <w:pPr>
        <w:spacing w:after="120"/>
        <w:jc w:val="left"/>
      </w:pPr>
      <w:r>
        <w:rPr>
          <w:rFonts w:ascii="Arial" w:cs="Arial" w:eastAsia="Arial" w:hAnsi="Arial"/>
          <w:sz w:val="20"/>
          <w:szCs w:val="20"/>
        </w:rPr>
        <w:t xml:space="preserve">Fix: Add a saturation block in the signal chain that clamps the motor voltage to the amplifier’s real output limits.</w:t>
      </w:r>
    </w:p>
    <w:p>
      <w:pPr>
        <w:pStyle w:val="Heading2"/>
        <w:spacing w:after="160" w:before="280"/>
      </w:pPr>
      <w:r>
        <w:rPr>
          <w:rFonts w:ascii="Arial" w:cs="Arial" w:eastAsia="Arial" w:hAnsi="Arial"/>
          <w:b/>
          <w:bCs/>
          <w:color w:val="1F4E79"/>
          <w:sz w:val="26"/>
          <w:szCs w:val="26"/>
        </w:rPr>
        <w:t xml:space="preserve">1.2 Current Limiting Ignored</w:t>
      </w:r>
    </w:p>
    <w:p>
      <w:pPr>
        <w:spacing w:after="120"/>
        <w:jc w:val="left"/>
      </w:pPr>
      <w:r>
        <w:rPr>
          <w:rFonts w:ascii="Arial" w:cs="Arial" w:eastAsia="Arial" w:hAnsi="Arial"/>
          <w:sz w:val="20"/>
          <w:szCs w:val="20"/>
        </w:rPr>
        <w:t xml:space="preserve">The IP02 motor is rated for a maximum of 1 A continuous and 3 A peak. Even if the voltage is within range, the amplifier or motor will current-limit, which acts like an additional nonlinear gain reduction at high drive levels.</w:t>
      </w:r>
    </w:p>
    <w:p>
      <w:pPr>
        <w:pStyle w:val="Heading2"/>
        <w:spacing w:after="160" w:before="280"/>
      </w:pPr>
      <w:r>
        <w:rPr>
          <w:rFonts w:ascii="Arial" w:cs="Arial" w:eastAsia="Arial" w:hAnsi="Arial"/>
          <w:b/>
          <w:bCs/>
          <w:color w:val="1F4E79"/>
          <w:sz w:val="26"/>
          <w:szCs w:val="26"/>
        </w:rPr>
        <w:t xml:space="preserve">1.3 Amplifier Gain Factor</w:t>
      </w:r>
    </w:p>
    <w:p>
      <w:pPr>
        <w:spacing w:after="120"/>
      </w:pPr>
      <w:r>
        <w:rPr>
          <w:rFonts w:ascii="Arial" w:cs="Arial" w:eastAsia="Arial" w:hAnsi="Arial"/>
          <w:sz w:val="20"/>
          <w:szCs w:val="20"/>
        </w:rPr>
        <w:t xml:space="preserve">The VoltPAQ-X1 has a selectable gain switch: </w:t>
      </w:r>
      <w:r>
        <w:rPr>
          <w:rFonts w:ascii="Arial" w:cs="Arial" w:eastAsia="Arial" w:hAnsi="Arial"/>
          <w:b/>
          <w:bCs/>
          <w:sz w:val="20"/>
          <w:szCs w:val="20"/>
        </w:rPr>
        <w:t xml:space="preserve">1x or 3x</w:t>
      </w:r>
      <w:r>
        <w:rPr>
          <w:rFonts w:ascii="Arial" w:cs="Arial" w:eastAsia="Arial" w:hAnsi="Arial"/>
          <w:sz w:val="20"/>
          <w:szCs w:val="20"/>
        </w:rPr>
        <w:t xml:space="preserve">. Both the Seesaw and IP02 manuals explicitly state to </w:t>
      </w:r>
      <w:r>
        <w:rPr>
          <w:rFonts w:ascii="Arial" w:cs="Arial" w:eastAsia="Arial" w:hAnsi="Arial"/>
          <w:b/>
          <w:bCs/>
          <w:sz w:val="20"/>
          <w:szCs w:val="20"/>
        </w:rPr>
        <w:t xml:space="preserve">set the gain to 1</w:t>
      </w:r>
      <w:r>
        <w:rPr>
          <w:rFonts w:ascii="Arial" w:cs="Arial" w:eastAsia="Arial" w:hAnsi="Arial"/>
          <w:sz w:val="20"/>
          <w:szCs w:val="20"/>
        </w:rPr>
        <w:t xml:space="preserve">. If the model assumes a gain of 1 but the physical switch is set to 3 (or vice versa), the output amplitude will be off by a factor of 3. Verify the physical switch position.</w:t>
      </w:r>
    </w:p>
    <w:p>
      <w:pPr>
        <w:pStyle w:val="Heading2"/>
        <w:spacing w:after="160" w:before="280"/>
      </w:pPr>
      <w:r>
        <w:rPr>
          <w:rFonts w:ascii="Arial" w:cs="Arial" w:eastAsia="Arial" w:hAnsi="Arial"/>
          <w:b/>
          <w:bCs/>
          <w:color w:val="1F4E79"/>
          <w:sz w:val="26"/>
          <w:szCs w:val="26"/>
        </w:rPr>
        <w:t xml:space="preserve">1.4 Motor Efficiency and Gearbox Losses</w:t>
      </w:r>
    </w:p>
    <w:p>
      <w:pPr>
        <w:spacing w:after="120"/>
      </w:pPr>
      <w:r>
        <w:rPr>
          <w:rFonts w:ascii="Arial" w:cs="Arial" w:eastAsia="Arial" w:hAnsi="Arial"/>
          <w:sz w:val="20"/>
          <w:szCs w:val="20"/>
        </w:rPr>
        <w:t xml:space="preserve">The IP02 motor efficiency is </w:t>
      </w:r>
      <w:r>
        <w:rPr>
          <w:rFonts w:ascii="Arial" w:cs="Arial" w:eastAsia="Arial" w:hAnsi="Arial"/>
          <w:b/>
          <w:bCs/>
          <w:sz w:val="20"/>
          <w:szCs w:val="20"/>
        </w:rPr>
        <w:t xml:space="preserve">η_m = 0.69</w:t>
      </w:r>
      <w:r>
        <w:rPr>
          <w:rFonts w:ascii="Arial" w:cs="Arial" w:eastAsia="Arial" w:hAnsi="Arial"/>
          <w:sz w:val="20"/>
          <w:szCs w:val="20"/>
        </w:rPr>
        <w:t xml:space="preserve"> and the gearbox efficiency is </w:t>
      </w:r>
      <w:r>
        <w:rPr>
          <w:rFonts w:ascii="Arial" w:cs="Arial" w:eastAsia="Arial" w:hAnsi="Arial"/>
          <w:b/>
          <w:bCs/>
          <w:sz w:val="20"/>
          <w:szCs w:val="20"/>
        </w:rPr>
        <w:t xml:space="preserve">η_g = 0.90</w:t>
      </w:r>
      <w:r>
        <w:rPr>
          <w:rFonts w:ascii="Arial" w:cs="Arial" w:eastAsia="Arial" w:hAnsi="Arial"/>
          <w:sz w:val="20"/>
          <w:szCs w:val="20"/>
        </w:rPr>
        <w:t xml:space="preserve">. Together these reduce the effective torque delivered to the cart by roughly 38%. Omitting these efficiencies makes the simulation produce more force than the real system ever sees, pushing the simulated output amplitude too high.</w:t>
      </w:r>
    </w:p>
    <w:p>
      <w:pPr>
        <w:pStyle w:val="Heading2"/>
        <w:spacing w:after="160" w:before="280"/>
      </w:pPr>
      <w:r>
        <w:rPr>
          <w:rFonts w:ascii="Arial" w:cs="Arial" w:eastAsia="Arial" w:hAnsi="Arial"/>
          <w:b/>
          <w:bCs/>
          <w:color w:val="1F4E79"/>
          <w:sz w:val="26"/>
          <w:szCs w:val="26"/>
        </w:rPr>
        <w:t xml:space="preserve">1.5 Friction and Damping</w:t>
      </w:r>
    </w:p>
    <w:p>
      <w:pPr>
        <w:spacing w:after="120"/>
        <w:jc w:val="left"/>
      </w:pPr>
      <w:r>
        <w:rPr>
          <w:rFonts w:ascii="Arial" w:cs="Arial" w:eastAsia="Arial" w:hAnsi="Arial"/>
          <w:sz w:val="20"/>
          <w:szCs w:val="20"/>
        </w:rPr>
        <w:t xml:space="preserve">The Seesaw manual lists the viscous damping B_SW as approximately zero, but in reality there is always some friction at the pivot and in the cart-rack interface. The IP02 manual gives an equivalent damping of B_eq,c = 4.3 N·m·s/rad for the cart alone. Neglecting these dissipative terms makes the model ring more and overshoot compared to the real system.</w:t>
      </w:r>
    </w:p>
    <w:p>
      <w:r>
        <w:br w:type="page"/>
      </w:r>
    </w:p>
    <w:p>
      <w:pPr>
        <w:pStyle w:val="Heading1"/>
        <w:spacing w:after="200" w:before="360"/>
      </w:pPr>
      <w:r>
        <w:rPr>
          <w:rFonts w:ascii="Arial" w:cs="Arial" w:eastAsia="Arial" w:hAnsi="Arial"/>
          <w:b/>
          <w:bCs/>
          <w:color w:val="1F4E79"/>
          <w:sz w:val="32"/>
          <w:szCs w:val="32"/>
        </w:rPr>
        <w:t xml:space="preserve">2. System Overview and Parameters</w:t>
      </w:r>
    </w:p>
    <w:p>
      <w:pPr>
        <w:spacing w:after="120"/>
        <w:jc w:val="left"/>
      </w:pPr>
      <w:r>
        <w:rPr>
          <w:rFonts w:ascii="Arial" w:cs="Arial" w:eastAsia="Arial" w:hAnsi="Arial"/>
          <w:sz w:val="20"/>
          <w:szCs w:val="20"/>
        </w:rPr>
        <w:t xml:space="preserve">The system consists of three main subsystems that must all be modeled correctly and chained together: the power amplifier, the DC motor with gearbox driving a cart on a rack, and the seesaw beam that tilts when the cart exerts a force off-center from the pivot.</w:t>
      </w:r>
    </w:p>
    <w:p>
      <w:pPr>
        <w:pStyle w:val="Heading2"/>
        <w:spacing w:after="160" w:before="280"/>
      </w:pPr>
      <w:r>
        <w:rPr>
          <w:rFonts w:ascii="Arial" w:cs="Arial" w:eastAsia="Arial" w:hAnsi="Arial"/>
          <w:b/>
          <w:bCs/>
          <w:color w:val="1F4E79"/>
          <w:sz w:val="26"/>
          <w:szCs w:val="26"/>
        </w:rPr>
        <w:t xml:space="preserve">2.1 SEESAW-E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60"/>
        <w:gridCol w:w="1800"/>
        <w:gridCol w:w="21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Symbol</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M_SW</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Mass of one SEESAW-E + one IP02 track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kg</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K_gs</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Seesaw geartrain gear ratio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D_T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Distance from pivot to IP02 track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0.125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D_C</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Distance from pivot to center of gravity</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0.058</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J_SW</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Moment of inertia about center of gravity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0.395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kg·m²</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B_SW</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Viscous damping at pivot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≈0</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N·m·s/rad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K_E,SW</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Seesaw encoder resolution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rad/count</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θ_range</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Angular range on flat surface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±11.5</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color w:val="1F4E79"/>
          <w:sz w:val="26"/>
          <w:szCs w:val="26"/>
        </w:rPr>
        <w:t xml:space="preserve">2.2 IP02 Motor and Cart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60"/>
        <w:gridCol w:w="1800"/>
        <w:gridCol w:w="21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Symbol</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V_nom</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Motor nominal input voltage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R_m</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Motor armature resistance (±12%)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2.6</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Ω</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L_m</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Motor armature inductance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mH</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k_t</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Motor torque constant (±12%)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7.68×10⁻³</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N·m/A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k_m</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Motor back-EMF constant (±12%)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7.68×10⁻³</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V/(rad/s)</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η_m</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Motor efficiency (±5%)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0.69</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J_rotor</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Rotor moment of inertia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3.90×10⁻⁷</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kg·m²</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K_g</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Planetary gearbox ratio</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3.71</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η_g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Gearbox efficiency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M_c</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Mass of cart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0.38</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kg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r_mp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Motor pinion radius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6.35×10⁻³</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B_eq,c</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Equiv. viscous damping (cart only)</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4.3</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N·m·s/rad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I_max</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Maximum input current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bl>
    <w:p>
      <w:pPr>
        <w:pStyle w:val="Heading2"/>
        <w:spacing w:after="160" w:before="280"/>
      </w:pPr>
      <w:r>
        <w:rPr>
          <w:rFonts w:ascii="Arial" w:cs="Arial" w:eastAsia="Arial" w:hAnsi="Arial"/>
          <w:b/>
          <w:bCs/>
          <w:color w:val="1F4E79"/>
          <w:sz w:val="26"/>
          <w:szCs w:val="26"/>
        </w:rPr>
        <w:t xml:space="preserve">2.3 VoltPAQ-X1 Amplifier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60"/>
        <w:gridCol w:w="1800"/>
        <w:gridCol w:w="21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Symbol</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K_a</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Amplifier gain (set to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V/V</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V_max</w:t>
            </w:r>
          </w:p>
        </w:tc>
        <w:tc>
          <w:tcPr>
            <w:tcW w:type="dxa" w:w="42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Maximum output voltage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±24</w:t>
            </w:r>
          </w:p>
        </w:tc>
        <w:tc>
          <w:tcPr>
            <w:tcW w:type="dxa" w:w="21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V</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I_cont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Continuous current capacity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bl>
    <w:p>
      <w:r>
        <w:br w:type="page"/>
      </w:r>
    </w:p>
    <w:p>
      <w:pPr>
        <w:pStyle w:val="Heading1"/>
        <w:spacing w:after="200" w:before="360"/>
      </w:pPr>
      <w:r>
        <w:rPr>
          <w:rFonts w:ascii="Arial" w:cs="Arial" w:eastAsia="Arial" w:hAnsi="Arial"/>
          <w:b/>
          <w:bCs/>
          <w:color w:val="1F4E79"/>
          <w:sz w:val="32"/>
          <w:szCs w:val="32"/>
        </w:rPr>
        <w:t xml:space="preserve">3. Step-by-Step Modeling Plan</w:t>
      </w:r>
    </w:p>
    <w:p>
      <w:pPr>
        <w:spacing w:after="120"/>
        <w:jc w:val="left"/>
      </w:pPr>
      <w:r>
        <w:rPr>
          <w:rFonts w:ascii="Arial" w:cs="Arial" w:eastAsia="Arial" w:hAnsi="Arial"/>
          <w:sz w:val="20"/>
          <w:szCs w:val="20"/>
        </w:rPr>
        <w:t xml:space="preserve">The plan is organized into five phases. Each phase builds on the previous one and includes a concrete validation step before moving on. This incremental approach ensures you catch errors early rather than debugging a monolithic model at the end.</w:t>
      </w:r>
    </w:p>
    <w:p>
      <w:pPr>
        <w:pStyle w:val="Heading2"/>
        <w:spacing w:after="160" w:before="280"/>
      </w:pPr>
      <w:r>
        <w:rPr>
          <w:rFonts w:ascii="Arial" w:cs="Arial" w:eastAsia="Arial" w:hAnsi="Arial"/>
          <w:b/>
          <w:bCs/>
          <w:color w:val="1F4E79"/>
          <w:sz w:val="26"/>
          <w:szCs w:val="26"/>
        </w:rPr>
        <w:t xml:space="preserve">Phase I: Motor and Actuator Subsystem</w:t>
      </w:r>
    </w:p>
    <w:p>
      <w:pPr>
        <w:spacing w:after="120"/>
        <w:jc w:val="left"/>
      </w:pPr>
      <w:r>
        <w:rPr>
          <w:rFonts w:ascii="Arial" w:cs="Arial" w:eastAsia="Arial" w:hAnsi="Arial"/>
          <w:b/>
          <w:bCs/>
          <w:sz w:val="20"/>
          <w:szCs w:val="20"/>
        </w:rPr>
        <w:t xml:space="preserve">Goal: Build an accurate model of the path from DAQ voltage command to linear force on the cart.</w:t>
      </w:r>
    </w:p>
    <w:p>
      <w:pPr>
        <w:spacing w:after="120" w:before="200"/>
      </w:pPr>
      <w:r>
        <w:rPr>
          <w:rFonts w:ascii="Arial" w:cs="Arial" w:eastAsia="Arial" w:hAnsi="Arial"/>
          <w:b/>
          <w:bCs/>
          <w:color w:val="333333"/>
          <w:sz w:val="22"/>
          <w:szCs w:val="22"/>
        </w:rPr>
        <w:t xml:space="preserve">Step 1 — Electrical Dynamics</w:t>
      </w:r>
    </w:p>
    <w:p>
      <w:pPr>
        <w:spacing w:after="120"/>
        <w:jc w:val="left"/>
      </w:pPr>
      <w:r>
        <w:rPr>
          <w:rFonts w:ascii="Arial" w:cs="Arial" w:eastAsia="Arial" w:hAnsi="Arial"/>
          <w:sz w:val="20"/>
          <w:szCs w:val="20"/>
        </w:rPr>
        <w:t xml:space="preserve">Start with the motor electrical equation. Although the motor inductance L_m is very small (0.18 mH) and can often be neglected for low-bandwidth applications, including it costs nothing in a simulation and avoids a hidden assumption.</w:t>
      </w:r>
    </w:p>
    <w:p>
      <w:pPr>
        <w:spacing w:after="120"/>
        <w:jc w:val="left"/>
      </w:pPr>
      <w:r>
        <w:rPr>
          <w:rFonts w:ascii="Arial" w:cs="Arial" w:eastAsia="Arial" w:hAnsi="Arial"/>
          <w:i/>
          <w:iCs/>
          <w:sz w:val="20"/>
          <w:szCs w:val="20"/>
        </w:rPr>
        <w:t xml:space="preserve">V_m = R_m · i_m + L_m · (di_m/dt) + k_m · ω_m</w:t>
      </w:r>
    </w:p>
    <w:p>
      <w:pPr>
        <w:spacing w:after="120"/>
        <w:jc w:val="left"/>
      </w:pPr>
      <w:r>
        <w:rPr>
          <w:rFonts w:ascii="Arial" w:cs="Arial" w:eastAsia="Arial" w:hAnsi="Arial"/>
          <w:sz w:val="20"/>
          <w:szCs w:val="20"/>
        </w:rPr>
        <w:t xml:space="preserve">where V_m is the voltage applied to the motor terminals (after the amplifier), i_m is the armature current, and ω_m is the motor shaft angular velocity.</w:t>
      </w:r>
    </w:p>
    <w:p>
      <w:pPr>
        <w:spacing w:after="120" w:before="200"/>
      </w:pPr>
      <w:r>
        <w:rPr>
          <w:rFonts w:ascii="Arial" w:cs="Arial" w:eastAsia="Arial" w:hAnsi="Arial"/>
          <w:b/>
          <w:bCs/>
          <w:color w:val="333333"/>
          <w:sz w:val="22"/>
          <w:szCs w:val="22"/>
        </w:rPr>
        <w:t xml:space="preserve">Step 2 — Mechanical Dynamics (Motor to Cart Force)</w:t>
      </w:r>
    </w:p>
    <w:p>
      <w:pPr>
        <w:spacing w:after="120"/>
        <w:jc w:val="left"/>
      </w:pPr>
      <w:r>
        <w:rPr>
          <w:rFonts w:ascii="Arial" w:cs="Arial" w:eastAsia="Arial" w:hAnsi="Arial"/>
          <w:sz w:val="20"/>
          <w:szCs w:val="20"/>
        </w:rPr>
        <w:t xml:space="preserve">The motor torque is τ_m = η_m · k_t · i_m. Through the gearbox (ratio K_g, efficiency η_g) and the rack-pinion (radius r_mp), the linear force on the cart becomes:</w:t>
      </w:r>
    </w:p>
    <w:p>
      <w:pPr>
        <w:spacing w:after="120"/>
        <w:jc w:val="left"/>
      </w:pPr>
      <w:r>
        <w:rPr>
          <w:rFonts w:ascii="Arial" w:cs="Arial" w:eastAsia="Arial" w:hAnsi="Arial"/>
          <w:i/>
          <w:iCs/>
          <w:sz w:val="20"/>
          <w:szCs w:val="20"/>
        </w:rPr>
        <w:t xml:space="preserve">F_cart = (η_g · K_g · τ_m) / r_mp</w:t>
      </w:r>
    </w:p>
    <w:p>
      <w:pPr>
        <w:spacing w:after="120"/>
        <w:jc w:val="left"/>
      </w:pPr>
      <w:r>
        <w:rPr>
          <w:rFonts w:ascii="Arial" w:cs="Arial" w:eastAsia="Arial" w:hAnsi="Arial"/>
          <w:sz w:val="20"/>
          <w:szCs w:val="20"/>
        </w:rPr>
        <w:t xml:space="preserve">The rotational speed relationship is ω_m = K_g · (dx_c/dt) / r_mp, where x_c is the cart linear position.</w:t>
      </w:r>
    </w:p>
    <w:p>
      <w:pPr>
        <w:spacing w:after="120" w:before="200"/>
      </w:pPr>
      <w:r>
        <w:rPr>
          <w:rFonts w:ascii="Arial" w:cs="Arial" w:eastAsia="Arial" w:hAnsi="Arial"/>
          <w:b/>
          <w:bCs/>
          <w:color w:val="333333"/>
          <w:sz w:val="22"/>
          <w:szCs w:val="22"/>
        </w:rPr>
        <w:t xml:space="preserve">Step 3 — Add Amplifier Saturation</w:t>
      </w:r>
    </w:p>
    <w:p>
      <w:pPr>
        <w:spacing w:after="120"/>
      </w:pPr>
      <w:r>
        <w:rPr>
          <w:rFonts w:ascii="Arial" w:cs="Arial" w:eastAsia="Arial" w:hAnsi="Arial"/>
          <w:b/>
          <w:bCs/>
          <w:sz w:val="20"/>
          <w:szCs w:val="20"/>
        </w:rPr>
        <w:t xml:space="preserve">This is the critical missing piece. </w:t>
      </w:r>
      <w:r>
        <w:rPr>
          <w:rFonts w:ascii="Arial" w:cs="Arial" w:eastAsia="Arial" w:hAnsi="Arial"/>
          <w:sz w:val="20"/>
          <w:szCs w:val="20"/>
        </w:rPr>
        <w:t xml:space="preserve">Before the motor voltage V_m, add: V_m = sat(K_a · V_cmd, ±V_sat), where V_sat is the amplifier’s actual maximum output (approximately 22 V under load based on VoltPAQ specs at 2A load). Also add a current saturation: i_m ≤ I_max.</w:t>
      </w:r>
    </w:p>
    <w:p>
      <w:pPr>
        <w:spacing w:after="120" w:before="200"/>
      </w:pPr>
      <w:r>
        <w:rPr>
          <w:rFonts w:ascii="Arial" w:cs="Arial" w:eastAsia="Arial" w:hAnsi="Arial"/>
          <w:b/>
          <w:bCs/>
          <w:color w:val="333333"/>
          <w:sz w:val="22"/>
          <w:szCs w:val="22"/>
        </w:rPr>
        <w:t xml:space="preserve">Step 4 — Validate Motor Subsystem Alone</w:t>
      </w:r>
    </w:p>
    <w:p>
      <w:pPr>
        <w:spacing w:after="120"/>
        <w:jc w:val="left"/>
      </w:pPr>
      <w:r>
        <w:rPr>
          <w:rFonts w:ascii="Arial" w:cs="Arial" w:eastAsia="Arial" w:hAnsi="Arial"/>
          <w:sz w:val="20"/>
          <w:szCs w:val="20"/>
        </w:rPr>
        <w:t xml:space="preserve">Before coupling to the seesaw, test the motor/cart model on the IP02 alone (seesaw removed, flat track). Apply a step voltage and verify the cart velocity steady-state and transient match the real IP02. This isolates motor model errors from seesaw model errors.</w:t>
      </w:r>
    </w:p>
    <w:p>
      <w:r>
        <w:br w:type="page"/>
      </w:r>
    </w:p>
    <w:p>
      <w:pPr>
        <w:pStyle w:val="Heading2"/>
        <w:spacing w:after="160" w:before="280"/>
      </w:pPr>
      <w:r>
        <w:rPr>
          <w:rFonts w:ascii="Arial" w:cs="Arial" w:eastAsia="Arial" w:hAnsi="Arial"/>
          <w:b/>
          <w:bCs/>
          <w:color w:val="1F4E79"/>
          <w:sz w:val="26"/>
          <w:szCs w:val="26"/>
        </w:rPr>
        <w:t xml:space="preserve">Phase II: Seesaw Rotational Dynamics</w:t>
      </w:r>
    </w:p>
    <w:p>
      <w:pPr>
        <w:spacing w:after="120"/>
        <w:jc w:val="left"/>
      </w:pPr>
      <w:r>
        <w:rPr>
          <w:rFonts w:ascii="Arial" w:cs="Arial" w:eastAsia="Arial" w:hAnsi="Arial"/>
          <w:b/>
          <w:bCs/>
          <w:sz w:val="20"/>
          <w:szCs w:val="20"/>
        </w:rPr>
        <w:t xml:space="preserve">Goal: Derive the equation of motion for the seesaw beam angle α as a function of the cart position x_c.</w:t>
      </w:r>
    </w:p>
    <w:p>
      <w:pPr>
        <w:spacing w:after="120" w:before="200"/>
      </w:pPr>
      <w:r>
        <w:rPr>
          <w:rFonts w:ascii="Arial" w:cs="Arial" w:eastAsia="Arial" w:hAnsi="Arial"/>
          <w:b/>
          <w:bCs/>
          <w:color w:val="333333"/>
          <w:sz w:val="22"/>
          <w:szCs w:val="22"/>
        </w:rPr>
        <w:t xml:space="preserve">Step 5 — Free Body Diagram and Torque Balance</w:t>
      </w:r>
    </w:p>
    <w:p>
      <w:pPr>
        <w:spacing w:after="120"/>
        <w:jc w:val="left"/>
      </w:pPr>
      <w:r>
        <w:rPr>
          <w:rFonts w:ascii="Arial" w:cs="Arial" w:eastAsia="Arial" w:hAnsi="Arial"/>
          <w:sz w:val="20"/>
          <w:szCs w:val="20"/>
        </w:rPr>
        <w:t xml:space="preserve">Taking torques about the seesaw pivot, the equation of motion is:</w:t>
      </w:r>
    </w:p>
    <w:p>
      <w:pPr>
        <w:spacing w:after="120"/>
        <w:jc w:val="left"/>
      </w:pPr>
      <w:r>
        <w:rPr>
          <w:rFonts w:ascii="Arial" w:cs="Arial" w:eastAsia="Arial" w:hAnsi="Arial"/>
          <w:i/>
          <w:iCs/>
          <w:sz w:val="20"/>
          <w:szCs w:val="20"/>
        </w:rPr>
        <w:t xml:space="preserve">J_eq · α̈ = – B_SW · α̇ – M_SW · g · D_C · sin(α) + M_c · g · x_c · cos(α) + F_cart · D_T · cos(α)</w:t>
      </w:r>
    </w:p>
    <w:p>
      <w:pPr>
        <w:spacing w:after="120"/>
        <w:jc w:val="left"/>
      </w:pPr>
      <w:r>
        <w:rPr>
          <w:rFonts w:ascii="Arial" w:cs="Arial" w:eastAsia="Arial" w:hAnsi="Arial"/>
          <w:sz w:val="20"/>
          <w:szCs w:val="20"/>
        </w:rPr>
        <w:t xml:space="preserve">where J_eq is the equivalent moment of inertia about the pivot (using the parallel axis theorem on J_SW), and α is the seesaw tilt angle. The key terms are the gravitational restoring torque from the offset center of mass, the gravitational torque from the cart position, and the direct forcing torque from the cart’s drive force.</w:t>
      </w:r>
    </w:p>
    <w:p>
      <w:pPr>
        <w:spacing w:after="120" w:before="200"/>
      </w:pPr>
      <w:r>
        <w:rPr>
          <w:rFonts w:ascii="Arial" w:cs="Arial" w:eastAsia="Arial" w:hAnsi="Arial"/>
          <w:b/>
          <w:bCs/>
          <w:color w:val="333333"/>
          <w:sz w:val="22"/>
          <w:szCs w:val="22"/>
        </w:rPr>
        <w:t xml:space="preserve">Step 6 — Parallel Axis Theorem</w:t>
      </w:r>
    </w:p>
    <w:p>
      <w:pPr>
        <w:spacing w:after="120"/>
        <w:jc w:val="left"/>
      </w:pPr>
      <w:r>
        <w:rPr>
          <w:rFonts w:ascii="Arial" w:cs="Arial" w:eastAsia="Arial" w:hAnsi="Arial"/>
          <w:sz w:val="20"/>
          <w:szCs w:val="20"/>
        </w:rPr>
        <w:t xml:space="preserve">The manual gives J_SW about the center of gravity. The moment of inertia about the pivot is:</w:t>
      </w:r>
    </w:p>
    <w:p>
      <w:pPr>
        <w:spacing w:after="120"/>
        <w:jc w:val="left"/>
      </w:pPr>
      <w:r>
        <w:rPr>
          <w:rFonts w:ascii="Arial" w:cs="Arial" w:eastAsia="Arial" w:hAnsi="Arial"/>
          <w:i/>
          <w:iCs/>
          <w:sz w:val="20"/>
          <w:szCs w:val="20"/>
        </w:rPr>
        <w:t xml:space="preserve">J_pivot = J_SW + M_SW · D_C² = 0.395 + 3.6 · 0.058² ≈ 0.407 kg·m²</w:t>
      </w:r>
    </w:p>
    <w:p>
      <w:pPr>
        <w:spacing w:after="120"/>
        <w:jc w:val="left"/>
      </w:pPr>
      <w:r>
        <w:rPr>
          <w:rFonts w:ascii="Arial" w:cs="Arial" w:eastAsia="Arial" w:hAnsi="Arial"/>
          <w:sz w:val="20"/>
          <w:szCs w:val="20"/>
        </w:rPr>
        <w:t xml:space="preserve">Don’t forget the cart’s contribution: J_total = J_pivot + M_c · x_c² (this term varies with cart position, making the system nonlinear even without the sin/cos terms).</w:t>
      </w:r>
    </w:p>
    <w:p>
      <w:pPr>
        <w:spacing w:after="120" w:before="200"/>
      </w:pPr>
      <w:r>
        <w:rPr>
          <w:rFonts w:ascii="Arial" w:cs="Arial" w:eastAsia="Arial" w:hAnsi="Arial"/>
          <w:b/>
          <w:bCs/>
          <w:color w:val="333333"/>
          <w:sz w:val="22"/>
          <w:szCs w:val="22"/>
        </w:rPr>
        <w:t xml:space="preserve">Step 7 — Keep It Nonlinear First</w:t>
      </w:r>
    </w:p>
    <w:p>
      <w:pPr>
        <w:spacing w:after="120"/>
      </w:pPr>
      <w:r>
        <w:rPr>
          <w:rFonts w:ascii="Arial" w:cs="Arial" w:eastAsia="Arial" w:hAnsi="Arial"/>
          <w:b/>
          <w:bCs/>
          <w:sz w:val="20"/>
          <w:szCs w:val="20"/>
        </w:rPr>
        <w:t xml:space="preserve">Do NOT linearize yet. </w:t>
      </w:r>
      <w:r>
        <w:rPr>
          <w:rFonts w:ascii="Arial" w:cs="Arial" w:eastAsia="Arial" w:hAnsi="Arial"/>
          <w:sz w:val="20"/>
          <w:szCs w:val="20"/>
        </w:rPr>
        <w:t xml:space="preserve">The ±11.5° range means sin(α) and cos(α) deviate noticeably from their small-angle approximations. For α = 11.5°, sin(α) ≈ 0.20 vs α ≈ 0.20 rad (OK), but cos(α) ≈ 0.98 vs 1.0 (2% error). More importantly, the nonlinear model will naturally capture the gain compression you observed — as the angle grows, the cos(α) projection reduces effective torque.</w:t>
      </w:r>
    </w:p>
    <w:p>
      <w:pPr>
        <w:pStyle w:val="Heading2"/>
        <w:spacing w:after="160" w:before="280"/>
      </w:pPr>
      <w:r>
        <w:rPr>
          <w:rFonts w:ascii="Arial" w:cs="Arial" w:eastAsia="Arial" w:hAnsi="Arial"/>
          <w:b/>
          <w:bCs/>
          <w:color w:val="1F4E79"/>
          <w:sz w:val="26"/>
          <w:szCs w:val="26"/>
        </w:rPr>
        <w:t xml:space="preserve">Phase III: Coupling and Full Nonlinear Simulation</w:t>
      </w:r>
    </w:p>
    <w:p>
      <w:pPr>
        <w:spacing w:after="120"/>
        <w:jc w:val="left"/>
      </w:pPr>
      <w:r>
        <w:rPr>
          <w:rFonts w:ascii="Arial" w:cs="Arial" w:eastAsia="Arial" w:hAnsi="Arial"/>
          <w:b/>
          <w:bCs/>
          <w:sz w:val="20"/>
          <w:szCs w:val="20"/>
        </w:rPr>
        <w:t xml:space="preserve">Goal: Connect the motor subsystem to the seesaw dynamics and run initial tests.</w:t>
      </w:r>
    </w:p>
    <w:p>
      <w:pPr>
        <w:spacing w:after="120" w:before="200"/>
      </w:pPr>
      <w:r>
        <w:rPr>
          <w:rFonts w:ascii="Arial" w:cs="Arial" w:eastAsia="Arial" w:hAnsi="Arial"/>
          <w:b/>
          <w:bCs/>
          <w:color w:val="333333"/>
          <w:sz w:val="22"/>
          <w:szCs w:val="22"/>
        </w:rPr>
        <w:t xml:space="preserve">Step 8 — State Space Formulation</w:t>
      </w:r>
    </w:p>
    <w:p>
      <w:pPr>
        <w:spacing w:after="120"/>
        <w:jc w:val="left"/>
      </w:pPr>
      <w:r>
        <w:rPr>
          <w:rFonts w:ascii="Arial" w:cs="Arial" w:eastAsia="Arial" w:hAnsi="Arial"/>
          <w:sz w:val="20"/>
          <w:szCs w:val="20"/>
        </w:rPr>
        <w:t xml:space="preserve">Define the state vector x = [x_c, dx_c/dt, α, dα/dt, i_m] and write the nonlinear ODEs. The coupling comes from the fact that the cart’s motion on the tilted beam experiences a gravitational component: the net force on the cart includes –M_c · g · sin(α) (gravity pulling the cart downhill on the tilted beam).</w:t>
      </w:r>
    </w:p>
    <w:p>
      <w:pPr>
        <w:spacing w:after="120" w:before="200"/>
      </w:pPr>
      <w:r>
        <w:rPr>
          <w:rFonts w:ascii="Arial" w:cs="Arial" w:eastAsia="Arial" w:hAnsi="Arial"/>
          <w:b/>
          <w:bCs/>
          <w:color w:val="333333"/>
          <w:sz w:val="22"/>
          <w:szCs w:val="22"/>
        </w:rPr>
        <w:t xml:space="preserve">Step 9 — Add Physical Limits</w:t>
      </w:r>
    </w:p>
    <w:p>
      <w:pPr>
        <w:spacing w:after="120"/>
      </w:pPr>
      <w:r>
        <w:rPr>
          <w:rFonts w:ascii="Arial" w:cs="Arial" w:eastAsia="Arial" w:hAnsi="Arial"/>
          <w:b/>
          <w:bCs/>
          <w:sz w:val="20"/>
          <w:szCs w:val="20"/>
        </w:rPr>
        <w:t xml:space="preserve">Model </w:t>
      </w:r>
      <w:r>
        <w:rPr>
          <w:rFonts w:ascii="Arial" w:cs="Arial" w:eastAsia="Arial" w:hAnsi="Arial"/>
          <w:b/>
          <w:bCs/>
          <w:i/>
          <w:iCs/>
          <w:sz w:val="20"/>
          <w:szCs w:val="20"/>
        </w:rPr>
        <w:t xml:space="preserve">all</w:t>
      </w:r>
      <w:r>
        <w:rPr>
          <w:rFonts w:ascii="Arial" w:cs="Arial" w:eastAsia="Arial" w:hAnsi="Arial"/>
          <w:sz w:val="20"/>
          <w:szCs w:val="20"/>
        </w:rPr>
        <w:t xml:space="preserve"> physical constraints:</w:t>
      </w:r>
    </w:p>
    <w:p>
      <w:pPr>
        <w:pStyle w:val="ListParagraph"/>
        <w:numPr>
          <w:ilvl w:val="0"/>
          <w:numId w:val="2"/>
        </w:numPr>
        <w:spacing w:after="60"/>
      </w:pPr>
      <w:r>
        <w:rPr>
          <w:rFonts w:ascii="Arial" w:cs="Arial" w:eastAsia="Arial" w:hAnsi="Arial"/>
          <w:sz w:val="20"/>
          <w:szCs w:val="20"/>
        </w:rPr>
        <w:t xml:space="preserve">Voltage saturation: ±V_sat (amplifier limit)</w:t>
      </w:r>
    </w:p>
    <w:p>
      <w:pPr>
        <w:pStyle w:val="ListParagraph"/>
        <w:numPr>
          <w:ilvl w:val="0"/>
          <w:numId w:val="2"/>
        </w:numPr>
        <w:spacing w:after="60"/>
      </w:pPr>
      <w:r>
        <w:rPr>
          <w:rFonts w:ascii="Arial" w:cs="Arial" w:eastAsia="Arial" w:hAnsi="Arial"/>
          <w:sz w:val="20"/>
          <w:szCs w:val="20"/>
        </w:rPr>
        <w:t xml:space="preserve">Current saturation: ±I_max (motor limit, 1A continuous)</w:t>
      </w:r>
    </w:p>
    <w:p>
      <w:pPr>
        <w:pStyle w:val="ListParagraph"/>
        <w:numPr>
          <w:ilvl w:val="0"/>
          <w:numId w:val="2"/>
        </w:numPr>
        <w:spacing w:after="60"/>
      </w:pPr>
      <w:r>
        <w:rPr>
          <w:rFonts w:ascii="Arial" w:cs="Arial" w:eastAsia="Arial" w:hAnsi="Arial"/>
          <w:sz w:val="20"/>
          <w:szCs w:val="20"/>
        </w:rPr>
        <w:t xml:space="preserve">Angle limits: ±11.5° (physical stops on the seesaw)</w:t>
      </w:r>
    </w:p>
    <w:p>
      <w:pPr>
        <w:pStyle w:val="ListParagraph"/>
        <w:numPr>
          <w:ilvl w:val="0"/>
          <w:numId w:val="2"/>
        </w:numPr>
        <w:spacing w:after="120"/>
      </w:pPr>
      <w:r>
        <w:rPr>
          <w:rFonts w:ascii="Arial" w:cs="Arial" w:eastAsia="Arial" w:hAnsi="Arial"/>
          <w:sz w:val="20"/>
          <w:szCs w:val="20"/>
        </w:rPr>
        <w:t xml:space="preserve">Cart travel limits: ±0.407 m from center (track ends)</w:t>
      </w:r>
    </w:p>
    <w:p>
      <w:pPr>
        <w:spacing w:after="120" w:before="200"/>
      </w:pPr>
      <w:r>
        <w:rPr>
          <w:rFonts w:ascii="Arial" w:cs="Arial" w:eastAsia="Arial" w:hAnsi="Arial"/>
          <w:b/>
          <w:bCs/>
          <w:color w:val="333333"/>
          <w:sz w:val="22"/>
          <w:szCs w:val="22"/>
        </w:rPr>
        <w:t xml:space="preserve">Step 10 — Sine Sweep Validation</w:t>
      </w:r>
    </w:p>
    <w:p>
      <w:pPr>
        <w:spacing w:after="120"/>
        <w:jc w:val="left"/>
      </w:pPr>
      <w:r>
        <w:rPr>
          <w:rFonts w:ascii="Arial" w:cs="Arial" w:eastAsia="Arial" w:hAnsi="Arial"/>
          <w:sz w:val="20"/>
          <w:szCs w:val="20"/>
        </w:rPr>
        <w:t xml:space="preserve">Apply the exact same sinusoidal input you used on the real system. Compare the simulation output to recorded data. You should now see the same peak-flattening behavior. If the gain is still too high, adjust motor efficiency and damping within their documented uncertainty bands.</w:t>
      </w:r>
    </w:p>
    <w:p>
      <w:r>
        <w:br w:type="page"/>
      </w:r>
    </w:p>
    <w:p>
      <w:pPr>
        <w:pStyle w:val="Heading2"/>
        <w:spacing w:after="160" w:before="280"/>
      </w:pPr>
      <w:r>
        <w:rPr>
          <w:rFonts w:ascii="Arial" w:cs="Arial" w:eastAsia="Arial" w:hAnsi="Arial"/>
          <w:b/>
          <w:bCs/>
          <w:color w:val="1F4E79"/>
          <w:sz w:val="26"/>
          <w:szCs w:val="26"/>
        </w:rPr>
        <w:t xml:space="preserve">Phase IV: Linearization (After Nonlinear Model Works)</w:t>
      </w:r>
    </w:p>
    <w:p>
      <w:pPr>
        <w:spacing w:after="120"/>
        <w:jc w:val="left"/>
      </w:pPr>
      <w:r>
        <w:rPr>
          <w:rFonts w:ascii="Arial" w:cs="Arial" w:eastAsia="Arial" w:hAnsi="Arial"/>
          <w:b/>
          <w:bCs/>
          <w:sz w:val="20"/>
          <w:szCs w:val="20"/>
        </w:rPr>
        <w:t xml:space="preserve">Goal: Once the nonlinear model matches reality, produce a linear model for controller design.</w:t>
      </w:r>
    </w:p>
    <w:p>
      <w:pPr>
        <w:spacing w:after="120" w:before="200"/>
      </w:pPr>
      <w:r>
        <w:rPr>
          <w:rFonts w:ascii="Arial" w:cs="Arial" w:eastAsia="Arial" w:hAnsi="Arial"/>
          <w:b/>
          <w:bCs/>
          <w:color w:val="333333"/>
          <w:sz w:val="22"/>
          <w:szCs w:val="22"/>
        </w:rPr>
        <w:t xml:space="preserve">Step 11 — Linearize About Equilibrium</w:t>
      </w:r>
    </w:p>
    <w:p>
      <w:pPr>
        <w:spacing w:after="120"/>
        <w:jc w:val="left"/>
      </w:pPr>
      <w:r>
        <w:rPr>
          <w:rFonts w:ascii="Arial" w:cs="Arial" w:eastAsia="Arial" w:hAnsi="Arial"/>
          <w:sz w:val="20"/>
          <w:szCs w:val="20"/>
        </w:rPr>
        <w:t xml:space="preserve">The natural equilibrium is α = 0, x_c = 0, with the cart centered. Apply small-angle approximations (sinα ≈ α, cosα ≈ 1) and neglect the motor inductance (L_m ≈ 0) to get a standard state-space model: dx/dt = Ax + Bu, y = Cx.</w:t>
      </w:r>
    </w:p>
    <w:p>
      <w:pPr>
        <w:spacing w:after="120" w:before="200"/>
      </w:pPr>
      <w:r>
        <w:rPr>
          <w:rFonts w:ascii="Arial" w:cs="Arial" w:eastAsia="Arial" w:hAnsi="Arial"/>
          <w:b/>
          <w:bCs/>
          <w:color w:val="333333"/>
          <w:sz w:val="22"/>
          <w:szCs w:val="22"/>
        </w:rPr>
        <w:t xml:space="preserve">Step 12 — Transfer Function Extraction</w:t>
      </w:r>
    </w:p>
    <w:p>
      <w:pPr>
        <w:spacing w:after="120"/>
        <w:jc w:val="left"/>
      </w:pPr>
      <w:r>
        <w:rPr>
          <w:rFonts w:ascii="Arial" w:cs="Arial" w:eastAsia="Arial" w:hAnsi="Arial"/>
          <w:sz w:val="20"/>
          <w:szCs w:val="20"/>
        </w:rPr>
        <w:t xml:space="preserve">From the linearized state-space, extract the transfer function from V_cmd to α. Verify that the poles and zeros make physical sense: the system should be open-loop unstable (the seesaw tips under gravity when the cart moves off-center).</w:t>
      </w:r>
    </w:p>
    <w:p>
      <w:pPr>
        <w:pStyle w:val="Heading2"/>
        <w:spacing w:after="160" w:before="280"/>
      </w:pPr>
      <w:r>
        <w:rPr>
          <w:rFonts w:ascii="Arial" w:cs="Arial" w:eastAsia="Arial" w:hAnsi="Arial"/>
          <w:b/>
          <w:bCs/>
          <w:color w:val="1F4E79"/>
          <w:sz w:val="26"/>
          <w:szCs w:val="26"/>
        </w:rPr>
        <w:t xml:space="preserve">Phase V: Parameter Tuning and Final Validation</w:t>
      </w:r>
    </w:p>
    <w:p>
      <w:pPr>
        <w:spacing w:after="120"/>
        <w:jc w:val="left"/>
      </w:pPr>
      <w:r>
        <w:rPr>
          <w:rFonts w:ascii="Arial" w:cs="Arial" w:eastAsia="Arial" w:hAnsi="Arial"/>
          <w:b/>
          <w:bCs/>
          <w:sz w:val="20"/>
          <w:szCs w:val="20"/>
        </w:rPr>
        <w:t xml:space="preserve">Goal: Fine-tune uncertain parameters using experimental data.</w:t>
      </w:r>
    </w:p>
    <w:p>
      <w:pPr>
        <w:spacing w:after="120" w:before="200"/>
      </w:pPr>
      <w:r>
        <w:rPr>
          <w:rFonts w:ascii="Arial" w:cs="Arial" w:eastAsia="Arial" w:hAnsi="Arial"/>
          <w:b/>
          <w:bCs/>
          <w:color w:val="333333"/>
          <w:sz w:val="22"/>
          <w:szCs w:val="22"/>
        </w:rPr>
        <w:t xml:space="preserve">Step 13 — Frequency Response Comparison</w:t>
      </w:r>
    </w:p>
    <w:p>
      <w:pPr>
        <w:spacing w:after="120"/>
        <w:jc w:val="left"/>
      </w:pPr>
      <w:r>
        <w:rPr>
          <w:rFonts w:ascii="Arial" w:cs="Arial" w:eastAsia="Arial" w:hAnsi="Arial"/>
          <w:sz w:val="20"/>
          <w:szCs w:val="20"/>
        </w:rPr>
        <w:t xml:space="preserve">Run a chirp or multi-sine input on the real system and record the angle response. Compute the experimental Bode plot (magnitude and phase vs frequency). Overlay the model’s Bode plot. Adjust B_SW, η_m, and η_g within their documented tolerance bands to best-fit the data.</w:t>
      </w:r>
    </w:p>
    <w:p>
      <w:pPr>
        <w:spacing w:after="120" w:before="200"/>
      </w:pPr>
      <w:r>
        <w:rPr>
          <w:rFonts w:ascii="Arial" w:cs="Arial" w:eastAsia="Arial" w:hAnsi="Arial"/>
          <w:b/>
          <w:bCs/>
          <w:color w:val="333333"/>
          <w:sz w:val="22"/>
          <w:szCs w:val="22"/>
        </w:rPr>
        <w:t xml:space="preserve">Step 14 — Step Response Comparison</w:t>
      </w:r>
    </w:p>
    <w:p>
      <w:pPr>
        <w:spacing w:after="120"/>
        <w:jc w:val="left"/>
      </w:pPr>
      <w:r>
        <w:rPr>
          <w:rFonts w:ascii="Arial" w:cs="Arial" w:eastAsia="Arial" w:hAnsi="Arial"/>
          <w:sz w:val="20"/>
          <w:szCs w:val="20"/>
        </w:rPr>
        <w:t xml:space="preserve">Apply a small step input (stay well within saturation) on both the real system and the model. Compare rise time, overshoot, and steady-state value. This tests the model in a regime where saturation should NOT matter — if there’s still a gain mismatch here, the issue is in the linear parameters, not the saturation model.</w:t>
      </w:r>
    </w:p>
    <w:p>
      <w:pPr>
        <w:spacing w:after="120" w:before="200"/>
      </w:pPr>
      <w:r>
        <w:rPr>
          <w:rFonts w:ascii="Arial" w:cs="Arial" w:eastAsia="Arial" w:hAnsi="Arial"/>
          <w:b/>
          <w:bCs/>
          <w:color w:val="333333"/>
          <w:sz w:val="22"/>
          <w:szCs w:val="22"/>
        </w:rPr>
        <w:t xml:space="preserve">Step 15 — Large Signal Validation</w:t>
      </w:r>
    </w:p>
    <w:p>
      <w:pPr>
        <w:spacing w:after="120"/>
        <w:jc w:val="left"/>
      </w:pPr>
      <w:r>
        <w:rPr>
          <w:rFonts w:ascii="Arial" w:cs="Arial" w:eastAsia="Arial" w:hAnsi="Arial"/>
          <w:sz w:val="20"/>
          <w:szCs w:val="20"/>
        </w:rPr>
        <w:t xml:space="preserve">Finally, apply the original sine input that caused problems. The nonlinear simulation with saturation should now reproduce the peak-flattening behavior. Document the final parameter set for the team.</w:t>
      </w:r>
    </w:p>
    <w:p>
      <w:r>
        <w:br w:type="page"/>
      </w:r>
    </w:p>
    <w:p>
      <w:pPr>
        <w:pStyle w:val="Heading1"/>
        <w:spacing w:after="200" w:before="360"/>
      </w:pPr>
      <w:r>
        <w:rPr>
          <w:rFonts w:ascii="Arial" w:cs="Arial" w:eastAsia="Arial" w:hAnsi="Arial"/>
          <w:b/>
          <w:bCs/>
          <w:color w:val="1F4E79"/>
          <w:sz w:val="32"/>
          <w:szCs w:val="32"/>
        </w:rPr>
        <w:t xml:space="preserve">4. Common Pitfalls to Avoid</w:t>
      </w:r>
    </w:p>
    <w:p>
      <w:pPr>
        <w:spacing w:after="120" w:before="200"/>
      </w:pPr>
      <w:r>
        <w:rPr>
          <w:rFonts w:ascii="Arial" w:cs="Arial" w:eastAsia="Arial" w:hAnsi="Arial"/>
          <w:b/>
          <w:bCs/>
          <w:color w:val="333333"/>
          <w:sz w:val="22"/>
          <w:szCs w:val="22"/>
        </w:rPr>
        <w:t xml:space="preserve">Pitfall 1: Linearizing Too Early</w:t>
      </w:r>
    </w:p>
    <w:p>
      <w:pPr>
        <w:spacing w:after="120"/>
        <w:jc w:val="left"/>
      </w:pPr>
      <w:r>
        <w:rPr>
          <w:rFonts w:ascii="Arial" w:cs="Arial" w:eastAsia="Arial" w:hAnsi="Arial"/>
          <w:sz w:val="20"/>
          <w:szCs w:val="20"/>
        </w:rPr>
        <w:t xml:space="preserve">If you jump straight to a linear transfer function, you will never see the saturation or gain compression effects. Always build and validate the nonlinear model first, then linearize.</w:t>
      </w:r>
    </w:p>
    <w:p>
      <w:pPr>
        <w:spacing w:after="120" w:before="200"/>
      </w:pPr>
      <w:r>
        <w:rPr>
          <w:rFonts w:ascii="Arial" w:cs="Arial" w:eastAsia="Arial" w:hAnsi="Arial"/>
          <w:b/>
          <w:bCs/>
          <w:color w:val="333333"/>
          <w:sz w:val="22"/>
          <w:szCs w:val="22"/>
        </w:rPr>
        <w:t xml:space="preserve">Pitfall 2: Forgetting the Amplifier in the Loop</w:t>
      </w:r>
    </w:p>
    <w:p>
      <w:pPr>
        <w:spacing w:after="120"/>
        <w:jc w:val="left"/>
      </w:pPr>
      <w:r>
        <w:rPr>
          <w:rFonts w:ascii="Arial" w:cs="Arial" w:eastAsia="Arial" w:hAnsi="Arial"/>
          <w:sz w:val="20"/>
          <w:szCs w:val="20"/>
        </w:rPr>
        <w:t xml:space="preserve">The signal chain is: V_cmd (DAQ output) → amplifier gain K_a → saturation → V_m (motor voltage). Many models skip straight from V_cmd to V_m, missing the gain and clipping.</w:t>
      </w:r>
    </w:p>
    <w:p>
      <w:pPr>
        <w:spacing w:after="120" w:before="200"/>
      </w:pPr>
      <w:r>
        <w:rPr>
          <w:rFonts w:ascii="Arial" w:cs="Arial" w:eastAsia="Arial" w:hAnsi="Arial"/>
          <w:b/>
          <w:bCs/>
          <w:color w:val="333333"/>
          <w:sz w:val="22"/>
          <w:szCs w:val="22"/>
        </w:rPr>
        <w:t xml:space="preserve">Pitfall 3: Using Nominal Parameters Without Tolerances</w:t>
      </w:r>
    </w:p>
    <w:p>
      <w:pPr>
        <w:spacing w:after="120"/>
        <w:jc w:val="left"/>
      </w:pPr>
      <w:r>
        <w:rPr>
          <w:rFonts w:ascii="Arial" w:cs="Arial" w:eastAsia="Arial" w:hAnsi="Arial"/>
          <w:sz w:val="20"/>
          <w:szCs w:val="20"/>
        </w:rPr>
        <w:t xml:space="preserve">The motor constants have ±12% tolerance, efficiency has ±5–10%. A model using all nominal values could be off by 20–30% in steady-state gain. Use the validation steps to find where your hardware actually sits within these bands.</w:t>
      </w:r>
    </w:p>
    <w:p>
      <w:pPr>
        <w:spacing w:after="120" w:before="200"/>
      </w:pPr>
      <w:r>
        <w:rPr>
          <w:rFonts w:ascii="Arial" w:cs="Arial" w:eastAsia="Arial" w:hAnsi="Arial"/>
          <w:b/>
          <w:bCs/>
          <w:color w:val="333333"/>
          <w:sz w:val="22"/>
          <w:szCs w:val="22"/>
        </w:rPr>
        <w:t xml:space="preserve">Pitfall 4: Ignoring the Cart’s Gravity on the Tilted Beam</w:t>
      </w:r>
    </w:p>
    <w:p>
      <w:pPr>
        <w:spacing w:after="120"/>
        <w:jc w:val="left"/>
      </w:pPr>
      <w:r>
        <w:rPr>
          <w:rFonts w:ascii="Arial" w:cs="Arial" w:eastAsia="Arial" w:hAnsi="Arial"/>
          <w:sz w:val="20"/>
          <w:szCs w:val="20"/>
        </w:rPr>
        <w:t xml:space="preserve">When the seesaw tilts, the cart experiences a gravitational force component along the beam: F_gravity = –M_c · g · sin(α). This is what makes the system unstable and must be included.</w:t>
      </w:r>
    </w:p>
    <w:p>
      <w:pPr>
        <w:spacing w:after="120" w:before="200"/>
      </w:pPr>
      <w:r>
        <w:rPr>
          <w:rFonts w:ascii="Arial" w:cs="Arial" w:eastAsia="Arial" w:hAnsi="Arial"/>
          <w:b/>
          <w:bCs/>
          <w:color w:val="333333"/>
          <w:sz w:val="22"/>
          <w:szCs w:val="22"/>
        </w:rPr>
        <w:t xml:space="preserve">Pitfall 5: Encoder Resolution Mismatch</w:t>
      </w:r>
    </w:p>
    <w:p>
      <w:pPr>
        <w:spacing w:after="120"/>
        <w:jc w:val="left"/>
      </w:pPr>
      <w:r>
        <w:rPr>
          <w:rFonts w:ascii="Arial" w:cs="Arial" w:eastAsia="Arial" w:hAnsi="Arial"/>
          <w:sz w:val="20"/>
          <w:szCs w:val="20"/>
        </w:rPr>
        <w:t xml:space="preserve">The seesaw encoder has a 3:1 gear ratio between the pivot and the encoder shaft. With 4096 counts/rev in quadrature mode, the effective angle resolution is 0.0015 rad/count. Make sure your QUARC/Simulink setup matches this exactly.</w:t>
      </w:r>
    </w:p>
    <w:p>
      <w:r>
        <w:br w:type="page"/>
      </w:r>
    </w:p>
    <w:p>
      <w:pPr>
        <w:pStyle w:val="Heading1"/>
        <w:spacing w:after="200" w:before="360"/>
      </w:pPr>
      <w:r>
        <w:rPr>
          <w:rFonts w:ascii="Arial" w:cs="Arial" w:eastAsia="Arial" w:hAnsi="Arial"/>
          <w:b/>
          <w:bCs/>
          <w:color w:val="1F4E79"/>
          <w:sz w:val="32"/>
          <w:szCs w:val="32"/>
        </w:rPr>
        <w:t xml:space="preserve">5. Project Milestones and Deliverables</w:t>
      </w:r>
    </w:p>
    <w:p>
      <w:pPr>
        <w:spacing w:after="120"/>
        <w:jc w:val="left"/>
      </w:pPr>
      <w:r>
        <w:rPr>
          <w:rFonts w:ascii="Arial" w:cs="Arial" w:eastAsia="Arial" w:hAnsi="Arial"/>
          <w:sz w:val="20"/>
          <w:szCs w:val="20"/>
        </w:rPr>
        <w:t xml:space="preserve">Use this checklist to track progress. Each milestone has a clear pass/fail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800"/>
        <w:gridCol w:w="23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Criterion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IP02 motor model standalone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 response matches real IP02 cart velocity within 10%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Amplifier saturation modeled</w:t>
            </w:r>
          </w:p>
        </w:tc>
        <w:tc>
          <w:tcPr>
            <w:tcW w:type="dxa" w:w="3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Simulation clips at same voltage as VoltPAQ output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Seesaw nonlinear EOM derived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Equations reviewed by team, units checked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Full nonlinear sim running</w:t>
            </w:r>
          </w:p>
        </w:tc>
        <w:tc>
          <w:tcPr>
            <w:tcW w:type="dxa" w:w="3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Simulation runs without numerical errors</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Sine sweep match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Simulation reproduces peak-flattening from real data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Linear model extracted</w:t>
            </w:r>
          </w:p>
        </w:tc>
        <w:tc>
          <w:tcPr>
            <w:tcW w:type="dxa" w:w="3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Poles/zeros match expected unstable behavior</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Bode plot comparison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Magnitude within 3 dB, phase within 15° over range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Parameter set documented</w:t>
            </w:r>
          </w:p>
        </w:tc>
        <w:tc>
          <w:tcPr>
            <w:tcW w:type="dxa" w:w="3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All values with sources and confidence intervals</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20"/>
                <w:szCs w:val="20"/>
              </w:rPr>
              <w:t xml:space="preserve"/>
            </w:r>
          </w:p>
        </w:tc>
      </w:tr>
    </w:tbl>
    <w:p>
      <w:pPr>
        <w:spacing w:before="400"/>
      </w:pPr>
    </w:p>
    <w:p>
      <w:pPr>
        <w:pStyle w:val="Heading1"/>
        <w:spacing w:after="200" w:before="360"/>
      </w:pPr>
      <w:r>
        <w:rPr>
          <w:rFonts w:ascii="Arial" w:cs="Arial" w:eastAsia="Arial" w:hAnsi="Arial"/>
          <w:b/>
          <w:bCs/>
          <w:color w:val="1F4E79"/>
          <w:sz w:val="32"/>
          <w:szCs w:val="32"/>
        </w:rPr>
        <w:t xml:space="preserve">6. Starter Code Files</w:t>
      </w:r>
    </w:p>
    <w:p>
      <w:pPr>
        <w:spacing w:after="120"/>
        <w:jc w:val="left"/>
      </w:pPr>
      <w:r>
        <w:rPr>
          <w:rFonts w:ascii="Arial" w:cs="Arial" w:eastAsia="Arial" w:hAnsi="Arial"/>
          <w:sz w:val="20"/>
          <w:szCs w:val="20"/>
        </w:rPr>
        <w:t xml:space="preserve">Two MATLAB files are provided alongside this document:</w:t>
      </w:r>
    </w:p>
    <w:p>
      <w:pPr>
        <w:spacing w:after="120"/>
      </w:pPr>
      <w:r>
        <w:rPr>
          <w:rFonts w:ascii="Arial" w:cs="Arial" w:eastAsia="Arial" w:hAnsi="Arial"/>
          <w:b/>
          <w:bCs/>
          <w:sz w:val="20"/>
          <w:szCs w:val="20"/>
        </w:rPr>
        <w:t xml:space="preserve">seesaw_params.m</w:t>
      </w:r>
      <w:r>
        <w:rPr>
          <w:rFonts w:ascii="Arial" w:cs="Arial" w:eastAsia="Arial" w:hAnsi="Arial"/>
          <w:sz w:val="20"/>
          <w:szCs w:val="20"/>
        </w:rPr>
        <w:t xml:space="preserve"> — Contains all physical parameters from the manuals, organized by subsystem. Run this first to populate the workspace.</w:t>
      </w:r>
    </w:p>
    <w:p>
      <w:pPr>
        <w:spacing w:after="120"/>
      </w:pPr>
      <w:r>
        <w:rPr>
          <w:rFonts w:ascii="Arial" w:cs="Arial" w:eastAsia="Arial" w:hAnsi="Arial"/>
          <w:b/>
          <w:bCs/>
          <w:sz w:val="20"/>
          <w:szCs w:val="20"/>
        </w:rPr>
        <w:t xml:space="preserve">seesaw_nonlinear_model.m</w:t>
      </w:r>
      <w:r>
        <w:rPr>
          <w:rFonts w:ascii="Arial" w:cs="Arial" w:eastAsia="Arial" w:hAnsi="Arial"/>
          <w:sz w:val="20"/>
          <w:szCs w:val="20"/>
        </w:rPr>
        <w:t xml:space="preserve"> — Implements the full nonlinear state-space ODE with saturation. Includes a basic simulation loop using ode45 and a sine input test case for immediate comparison with your hardware data.</w:t>
      </w:r>
    </w:p>
    <w:p>
      <w:pPr>
        <w:spacing w:after="120"/>
        <w:jc w:val="left"/>
      </w:pPr>
      <w:r>
        <w:rPr>
          <w:rFonts w:ascii="Arial" w:cs="Arial" w:eastAsia="Arial" w:hAnsi="Arial"/>
          <w:sz w:val="20"/>
          <w:szCs w:val="20"/>
        </w:rPr>
        <w:t xml:space="preserve">These files implement Phases I–III of this plan. Phases IV–V (linearization and tuning) should be done after the nonlinear model is validated against hardware.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 w:space="4"/>
      </w:pBdr>
      <w:tabs>
        <w:tab w:val="right" w:pos="9026"/>
      </w:tabs>
    </w:pPr>
    <w:r>
      <w:rPr>
        <w:rFonts w:ascii="Arial" w:cs="Arial" w:eastAsia="Arial" w:hAnsi="Arial"/>
        <w:i/>
        <w:iCs/>
        <w:color w:val="999999"/>
        <w:sz w:val="16"/>
        <w:szCs w:val="16"/>
      </w:rPr>
      <w:t xml:space="preserve">Seesaw Model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2026-03-15T23:23:10.297Z</dcterms:created>
  <dcterms:modified xsi:type="dcterms:W3CDTF">2026-03-15T23:23:10.297Z</dcterms:modified>
</cp:coreProperties>
</file>

<file path=docProps/custom.xml><?xml version="1.0" encoding="utf-8"?>
<Properties xmlns="http://schemas.openxmlformats.org/officeDocument/2006/custom-properties" xmlns:vt="http://schemas.openxmlformats.org/officeDocument/2006/docPropsVTypes"/>
</file>