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jc w:val="left"/>
      </w:pPr>
      <w:r>
        <w:t>AutoPharm Backend Architecture and First Implementation Plan</w:t>
      </w:r>
    </w:p>
    <w:p>
      <w:pPr>
        <w:spacing w:before="120" w:after="480"/>
      </w:pPr>
      <w:r>
        <w:rPr>
          <w:rFonts w:ascii="Aptos" w:hAnsi="Aptos"/>
          <w:color w:val="6B7280"/>
          <w:sz w:val="30"/>
        </w:rPr>
        <w:t>Team discussion document</w:t>
      </w:r>
    </w:p>
    <w:p>
      <w:pPr>
        <w:spacing w:after="520"/>
      </w:pPr>
      <w:r>
        <w:rPr>
          <w:rFonts w:ascii="Aptos" w:hAnsi="Aptos"/>
          <w:color w:val="6B7280"/>
          <w:sz w:val="21"/>
        </w:rPr>
        <w:t>Prepared for the AutoPharm development team</w:t>
        <w:br/>
      </w:r>
      <w:r>
        <w:rPr>
          <w:rFonts w:ascii="Aptos" w:hAnsi="Aptos"/>
          <w:color w:val="6B7280"/>
          <w:sz w:val="21"/>
        </w:rPr>
        <w:t>Architecture version 1.0</w:t>
        <w:br/>
      </w:r>
      <w:r>
        <w:rPr>
          <w:rFonts w:ascii="Aptos" w:hAnsi="Aptos"/>
          <w:color w:val="6B7280"/>
          <w:sz w:val="21"/>
        </w:rPr>
        <w:t>19 September 2026</w:t>
        <w:br/>
      </w:r>
    </w:p>
    <w:p>
      <w:pPr>
        <w:pStyle w:val="Heading1"/>
        <w:keepNext/>
        <w:keepLines/>
      </w:pPr>
      <w:r>
        <w:t>Purpose</w:t>
      </w:r>
    </w:p>
    <w:p>
      <w:pPr>
        <w:spacing w:after="140" w:line="269" w:lineRule="auto"/>
      </w:pPr>
      <w:r>
        <w:rPr>
          <w:rFonts w:ascii="Aptos" w:hAnsi="Aptos"/>
          <w:color w:val="000000"/>
        </w:rPr>
        <w:t>This document turns the agreed Markdown architecture into a shared implementation plan. It explains how the Django backend will be organized, how the applications directory will grow, how responsibilities flow through each domain app, and what the first authentication increment contains.</w:t>
      </w:r>
    </w:p>
    <w:p>
      <w:pPr>
        <w:spacing w:after="140" w:line="269" w:lineRule="auto"/>
      </w:pPr>
      <w:r>
        <w:rPr>
          <w:rFonts w:ascii="Aptos" w:hAnsi="Aptos"/>
          <w:b/>
          <w:color w:val="000000"/>
        </w:rPr>
        <w:t xml:space="preserve">Main decision. </w:t>
      </w:r>
      <w:r>
        <w:rPr>
          <w:rFonts w:ascii="Aptos" w:hAnsi="Aptos"/>
          <w:color w:val="000000"/>
        </w:rPr>
        <w:t>Build one Django modular monolith. Begin with the accounts domain and add new feature-owned apps incrementally. Each app owns its API, services, models, migrations, security rules where applicable, and tests.</w:t>
      </w:r>
    </w:p>
    <w:p>
      <w:r>
        <w:br w:type="page"/>
      </w:r>
    </w:p>
    <w:p>
      <w:pPr>
        <w:pStyle w:val="Heading1"/>
        <w:keepNext/>
        <w:keepLines/>
      </w:pPr>
      <w:r>
        <w:t>1 Agreed architecture</w:t>
      </w:r>
    </w:p>
    <w:p>
      <w:pPr>
        <w:spacing w:after="140" w:line="269" w:lineRule="auto"/>
      </w:pPr>
      <w:r>
        <w:rPr>
          <w:rFonts w:ascii="Aptos" w:hAnsi="Aptos"/>
          <w:color w:val="000000"/>
        </w:rPr>
        <w:t>The backend will preserve the clear separation familiar from Flask projects while following Django conventions. The central difference is that code is grouped by business domain instead of being split globally into models, routes, and services.</w:t>
      </w:r>
    </w:p>
    <w:p>
      <w:pPr>
        <w:pStyle w:val="ListBullet"/>
        <w:spacing w:after="80" w:line="259" w:lineRule="auto"/>
      </w:pPr>
      <w:r>
        <w:rPr>
          <w:rFonts w:ascii="Aptos" w:hAnsi="Aptos"/>
          <w:color w:val="000000"/>
        </w:rPr>
        <w:t>One Django project deployed as a modular monolith.</w:t>
      </w:r>
    </w:p>
    <w:p>
      <w:pPr>
        <w:pStyle w:val="ListBullet"/>
        <w:spacing w:after="80" w:line="259" w:lineRule="auto"/>
      </w:pPr>
      <w:r>
        <w:rPr>
          <w:rFonts w:ascii="Aptos" w:hAnsi="Aptos"/>
          <w:color w:val="000000"/>
        </w:rPr>
        <w:t>PostgreSQL is the authoritative relational database and is accessed through the Django ORM.</w:t>
      </w:r>
    </w:p>
    <w:p>
      <w:pPr>
        <w:pStyle w:val="ListBullet"/>
        <w:spacing w:after="80" w:line="259" w:lineRule="auto"/>
      </w:pPr>
      <w:r>
        <w:rPr>
          <w:rFonts w:ascii="Aptos" w:hAnsi="Aptos"/>
          <w:color w:val="000000"/>
        </w:rPr>
        <w:t>Django REST Framework provides the HTTP API used by the kiosk and AutoDoc.</w:t>
      </w:r>
    </w:p>
    <w:p>
      <w:pPr>
        <w:pStyle w:val="ListBullet"/>
        <w:spacing w:after="80" w:line="259" w:lineRule="auto"/>
      </w:pPr>
      <w:r>
        <w:rPr>
          <w:rFonts w:ascii="Aptos" w:hAnsi="Aptos"/>
          <w:color w:val="000000"/>
        </w:rPr>
        <w:t>API views remain thin; named services coordinate business workflows and database transactions.</w:t>
      </w:r>
    </w:p>
    <w:p>
      <w:pPr>
        <w:pStyle w:val="ListBullet"/>
        <w:spacing w:after="80" w:line="259" w:lineRule="auto"/>
      </w:pPr>
      <w:r>
        <w:rPr>
          <w:rFonts w:ascii="Aptos" w:hAnsi="Aptos"/>
          <w:color w:val="000000"/>
        </w:rPr>
        <w:t>Django apps own their models, migrations, API code, services, and tests.</w:t>
      </w:r>
    </w:p>
    <w:p>
      <w:pPr>
        <w:pStyle w:val="ListBullet"/>
        <w:spacing w:after="80" w:line="259" w:lineRule="auto"/>
      </w:pPr>
      <w:r>
        <w:rPr>
          <w:rFonts w:ascii="Aptos" w:hAnsi="Aptos"/>
          <w:color w:val="000000"/>
        </w:rPr>
        <w:t>External providers and hardware are introduced later through focused adapter interfaces.</w:t>
      </w:r>
    </w:p>
    <w:p>
      <w:pPr>
        <w:pStyle w:val="ListBullet"/>
        <w:spacing w:after="80" w:line="259" w:lineRule="auto"/>
      </w:pPr>
      <w:r>
        <w:rPr>
          <w:rFonts w:ascii="Aptos" w:hAnsi="Aptos"/>
          <w:color w:val="000000"/>
        </w:rPr>
        <w:t>Dependencies are declared in pyproject.toml and locked in uv.lock.</w:t>
      </w:r>
    </w:p>
    <w:p>
      <w:pPr>
        <w:pStyle w:val="Heading2"/>
        <w:keepNext/>
        <w:keepLines/>
      </w:pPr>
      <w:r>
        <w:t>Flask concepts mapped to Django</w:t>
      </w:r>
    </w:p>
    <w:tbl>
      <w:tblPr>
        <w:tblW w:type="auto" w:w="0"/>
        <w:jc w:val="center"/>
        <w:tblLayout w:type="fixed"/>
        <w:tblLook w:firstColumn="1" w:firstRow="1" w:lastColumn="0" w:lastRow="0" w:noHBand="0" w:noVBand="1" w:val="04A0"/>
        <w:tblBorders>
          <w:top w:val="single" w:sz="6" w:color="D9DDE5"/>
          <w:left w:val="single" w:sz="6" w:color="D9DDE5"/>
          <w:bottom w:val="single" w:sz="6" w:color="D9DDE5"/>
          <w:right w:val="single" w:sz="6" w:color="D9DDE5"/>
          <w:insideH w:val="single" w:sz="6" w:color="D9DDE5"/>
          <w:insideV w:val="single" w:sz="6" w:color="D9DDE5"/>
        </w:tblBorders>
      </w:tblPr>
      <w:tblGrid>
        <w:gridCol w:w="3213"/>
        <w:gridCol w:w="3213"/>
        <w:gridCol w:w="3213"/>
      </w:tblGrid>
      <w:tr>
        <w:trPr>
          <w:tblHeader w:val="true"/>
        </w:trPr>
        <w:tc>
          <w:tcPr>
            <w:tcW w:type="dxa" w:w="2232"/>
            <w:shd w:fill="172554"/>
            <w:tcMar>
              <w:top w:w="100" w:type="dxa"/>
              <w:start w:w="120" w:type="dxa"/>
              <w:bottom w:w="100" w:type="dxa"/>
              <w:end w:w="120" w:type="dxa"/>
            </w:tcMar>
            <w:vAlign w:val="center"/>
          </w:tcPr>
          <w:p>
            <w:pPr>
              <w:jc w:val="left"/>
            </w:pPr>
            <w:r>
              <w:rPr>
                <w:rFonts w:ascii="Aptos" w:hAnsi="Aptos"/>
                <w:b/>
                <w:color w:val="FFFFFF"/>
                <w:sz w:val="19"/>
              </w:rPr>
              <w:t>Flask approach</w:t>
            </w:r>
          </w:p>
        </w:tc>
        <w:tc>
          <w:tcPr>
            <w:tcW w:type="dxa" w:w="2520"/>
            <w:shd w:fill="172554"/>
            <w:tcMar>
              <w:top w:w="100" w:type="dxa"/>
              <w:start w:w="120" w:type="dxa"/>
              <w:bottom w:w="100" w:type="dxa"/>
              <w:end w:w="120" w:type="dxa"/>
            </w:tcMar>
            <w:vAlign w:val="center"/>
          </w:tcPr>
          <w:p>
            <w:pPr>
              <w:jc w:val="left"/>
            </w:pPr>
            <w:r>
              <w:rPr>
                <w:rFonts w:ascii="Aptos" w:hAnsi="Aptos"/>
                <w:b/>
                <w:color w:val="FFFFFF"/>
                <w:sz w:val="19"/>
              </w:rPr>
              <w:t>Django approach</w:t>
            </w:r>
          </w:p>
        </w:tc>
        <w:tc>
          <w:tcPr>
            <w:tcW w:type="dxa" w:w="4536"/>
            <w:shd w:fill="172554"/>
            <w:tcMar>
              <w:top w:w="100" w:type="dxa"/>
              <w:start w:w="120" w:type="dxa"/>
              <w:bottom w:w="100" w:type="dxa"/>
              <w:end w:w="120" w:type="dxa"/>
            </w:tcMar>
            <w:vAlign w:val="center"/>
          </w:tcPr>
          <w:p>
            <w:pPr>
              <w:jc w:val="left"/>
            </w:pPr>
            <w:r>
              <w:rPr>
                <w:rFonts w:ascii="Aptos" w:hAnsi="Aptos"/>
                <w:b/>
                <w:color w:val="FFFFFF"/>
                <w:sz w:val="19"/>
              </w:rPr>
              <w:t>AutoPharm decision</w:t>
            </w:r>
          </w:p>
        </w:tc>
      </w:tr>
      <w:tr>
        <w:tc>
          <w:tcPr>
            <w:tcW w:type="dxa" w:w="2232"/>
            <w:shd w:fill="FFFFFF"/>
            <w:tcMar>
              <w:top w:w="100" w:type="dxa"/>
              <w:start w:w="120" w:type="dxa"/>
              <w:bottom w:w="100" w:type="dxa"/>
              <w:end w:w="120" w:type="dxa"/>
            </w:tcMar>
            <w:vAlign w:val="center"/>
          </w:tcPr>
          <w:p>
            <w:pPr>
              <w:spacing w:after="0" w:line="252" w:lineRule="auto"/>
            </w:pPr>
            <w:r>
              <w:rPr>
                <w:rFonts w:ascii="Aptos" w:hAnsi="Aptos"/>
                <w:color w:val="000000"/>
                <w:sz w:val="18"/>
              </w:rPr>
              <w:t>SQLAlchemy models</w:t>
            </w:r>
          </w:p>
        </w:tc>
        <w:tc>
          <w:tcPr>
            <w:tcW w:type="dxa" w:w="2520"/>
            <w:shd w:fill="FFFFFF"/>
            <w:tcMar>
              <w:top w:w="100" w:type="dxa"/>
              <w:start w:w="120" w:type="dxa"/>
              <w:bottom w:w="100" w:type="dxa"/>
              <w:end w:w="120" w:type="dxa"/>
            </w:tcMar>
            <w:vAlign w:val="center"/>
          </w:tcPr>
          <w:p>
            <w:pPr>
              <w:spacing w:after="0" w:line="252" w:lineRule="auto"/>
            </w:pPr>
            <w:r>
              <w:rPr>
                <w:rFonts w:ascii="Aptos" w:hAnsi="Aptos"/>
                <w:color w:val="000000"/>
                <w:sz w:val="18"/>
              </w:rPr>
              <w:t>Django ORM models</w:t>
            </w:r>
          </w:p>
        </w:tc>
        <w:tc>
          <w:tcPr>
            <w:tcW w:type="dxa" w:w="4536"/>
            <w:shd w:fill="FFFFFF"/>
            <w:tcMar>
              <w:top w:w="100" w:type="dxa"/>
              <w:start w:w="120" w:type="dxa"/>
              <w:bottom w:w="100" w:type="dxa"/>
              <w:end w:w="120" w:type="dxa"/>
            </w:tcMar>
            <w:vAlign w:val="center"/>
          </w:tcPr>
          <w:p>
            <w:pPr>
              <w:spacing w:after="0" w:line="252" w:lineRule="auto"/>
            </w:pPr>
            <w:r>
              <w:rPr>
                <w:rFonts w:ascii="Aptos" w:hAnsi="Aptos"/>
                <w:color w:val="000000"/>
                <w:sz w:val="18"/>
              </w:rPr>
              <w:t>Models stay inside their owning domain app.</w:t>
            </w:r>
          </w:p>
        </w:tc>
      </w:tr>
      <w:tr>
        <w:tc>
          <w:tcPr>
            <w:tcW w:type="dxa" w:w="2232"/>
            <w:shd w:fill="EAF2FF"/>
            <w:tcMar>
              <w:top w:w="100" w:type="dxa"/>
              <w:start w:w="120" w:type="dxa"/>
              <w:bottom w:w="100" w:type="dxa"/>
              <w:end w:w="120" w:type="dxa"/>
            </w:tcMar>
            <w:vAlign w:val="center"/>
          </w:tcPr>
          <w:p>
            <w:pPr>
              <w:spacing w:after="0" w:line="252" w:lineRule="auto"/>
            </w:pPr>
            <w:r>
              <w:rPr>
                <w:rFonts w:ascii="Aptos" w:hAnsi="Aptos"/>
                <w:color w:val="000000"/>
                <w:sz w:val="18"/>
              </w:rPr>
              <w:t>Flask Migrate and Alembic</w:t>
            </w:r>
          </w:p>
        </w:tc>
        <w:tc>
          <w:tcPr>
            <w:tcW w:type="dxa" w:w="2520"/>
            <w:shd w:fill="EAF2FF"/>
            <w:tcMar>
              <w:top w:w="100" w:type="dxa"/>
              <w:start w:w="120" w:type="dxa"/>
              <w:bottom w:w="100" w:type="dxa"/>
              <w:end w:w="120" w:type="dxa"/>
            </w:tcMar>
            <w:vAlign w:val="center"/>
          </w:tcPr>
          <w:p>
            <w:pPr>
              <w:spacing w:after="0" w:line="252" w:lineRule="auto"/>
            </w:pPr>
            <w:r>
              <w:rPr>
                <w:rFonts w:ascii="Aptos" w:hAnsi="Aptos"/>
                <w:color w:val="000000"/>
                <w:sz w:val="18"/>
              </w:rPr>
              <w:t>Django migrations</w:t>
            </w:r>
          </w:p>
        </w:tc>
        <w:tc>
          <w:tcPr>
            <w:tcW w:type="dxa" w:w="4536"/>
            <w:shd w:fill="EAF2FF"/>
            <w:tcMar>
              <w:top w:w="100" w:type="dxa"/>
              <w:start w:w="120" w:type="dxa"/>
              <w:bottom w:w="100" w:type="dxa"/>
              <w:end w:w="120" w:type="dxa"/>
            </w:tcMar>
            <w:vAlign w:val="center"/>
          </w:tcPr>
          <w:p>
            <w:pPr>
              <w:spacing w:after="0" w:line="252" w:lineRule="auto"/>
            </w:pPr>
            <w:r>
              <w:rPr>
                <w:rFonts w:ascii="Aptos" w:hAnsi="Aptos"/>
                <w:color w:val="000000"/>
                <w:sz w:val="18"/>
              </w:rPr>
              <w:t>Migration files live inside each app and are committed.</w:t>
            </w:r>
          </w:p>
        </w:tc>
      </w:tr>
      <w:tr>
        <w:tc>
          <w:tcPr>
            <w:tcW w:type="dxa" w:w="2232"/>
            <w:shd w:fill="FFFFFF"/>
            <w:tcMar>
              <w:top w:w="100" w:type="dxa"/>
              <w:start w:w="120" w:type="dxa"/>
              <w:bottom w:w="100" w:type="dxa"/>
              <w:end w:w="120" w:type="dxa"/>
            </w:tcMar>
            <w:vAlign w:val="center"/>
          </w:tcPr>
          <w:p>
            <w:pPr>
              <w:spacing w:after="0" w:line="252" w:lineRule="auto"/>
            </w:pPr>
            <w:r>
              <w:rPr>
                <w:rFonts w:ascii="Aptos" w:hAnsi="Aptos"/>
                <w:color w:val="000000"/>
                <w:sz w:val="18"/>
              </w:rPr>
              <w:t>Blueprint routes</w:t>
            </w:r>
          </w:p>
        </w:tc>
        <w:tc>
          <w:tcPr>
            <w:tcW w:type="dxa" w:w="2520"/>
            <w:shd w:fill="FFFFFF"/>
            <w:tcMar>
              <w:top w:w="100" w:type="dxa"/>
              <w:start w:w="120" w:type="dxa"/>
              <w:bottom w:w="100" w:type="dxa"/>
              <w:end w:w="120" w:type="dxa"/>
            </w:tcMar>
            <w:vAlign w:val="center"/>
          </w:tcPr>
          <w:p>
            <w:pPr>
              <w:spacing w:after="0" w:line="252" w:lineRule="auto"/>
            </w:pPr>
            <w:r>
              <w:rPr>
                <w:rFonts w:ascii="Aptos" w:hAnsi="Aptos"/>
                <w:color w:val="000000"/>
                <w:sz w:val="18"/>
              </w:rPr>
              <w:t>App urls.py plus DRF views</w:t>
            </w:r>
          </w:p>
        </w:tc>
        <w:tc>
          <w:tcPr>
            <w:tcW w:type="dxa" w:w="4536"/>
            <w:shd w:fill="FFFFFF"/>
            <w:tcMar>
              <w:top w:w="100" w:type="dxa"/>
              <w:start w:w="120" w:type="dxa"/>
              <w:bottom w:w="100" w:type="dxa"/>
              <w:end w:w="120" w:type="dxa"/>
            </w:tcMar>
            <w:vAlign w:val="center"/>
          </w:tcPr>
          <w:p>
            <w:pPr>
              <w:spacing w:after="0" w:line="252" w:lineRule="auto"/>
            </w:pPr>
            <w:r>
              <w:rPr>
                <w:rFonts w:ascii="Aptos" w:hAnsi="Aptos"/>
                <w:color w:val="000000"/>
                <w:sz w:val="18"/>
              </w:rPr>
              <w:t>Routes use /api/v1 and call thin views.</w:t>
            </w:r>
          </w:p>
        </w:tc>
      </w:tr>
      <w:tr>
        <w:tc>
          <w:tcPr>
            <w:tcW w:type="dxa" w:w="2232"/>
            <w:shd w:fill="EAF2FF"/>
            <w:tcMar>
              <w:top w:w="100" w:type="dxa"/>
              <w:start w:w="120" w:type="dxa"/>
              <w:bottom w:w="100" w:type="dxa"/>
              <w:end w:w="120" w:type="dxa"/>
            </w:tcMar>
            <w:vAlign w:val="center"/>
          </w:tcPr>
          <w:p>
            <w:pPr>
              <w:spacing w:after="0" w:line="252" w:lineRule="auto"/>
            </w:pPr>
            <w:r>
              <w:rPr>
                <w:rFonts w:ascii="Aptos" w:hAnsi="Aptos"/>
                <w:color w:val="000000"/>
                <w:sz w:val="18"/>
              </w:rPr>
              <w:t>Marshmallow schemas</w:t>
            </w:r>
          </w:p>
        </w:tc>
        <w:tc>
          <w:tcPr>
            <w:tcW w:type="dxa" w:w="2520"/>
            <w:shd w:fill="EAF2FF"/>
            <w:tcMar>
              <w:top w:w="100" w:type="dxa"/>
              <w:start w:w="120" w:type="dxa"/>
              <w:bottom w:w="100" w:type="dxa"/>
              <w:end w:w="120" w:type="dxa"/>
            </w:tcMar>
            <w:vAlign w:val="center"/>
          </w:tcPr>
          <w:p>
            <w:pPr>
              <w:spacing w:after="0" w:line="252" w:lineRule="auto"/>
            </w:pPr>
            <w:r>
              <w:rPr>
                <w:rFonts w:ascii="Aptos" w:hAnsi="Aptos"/>
                <w:color w:val="000000"/>
                <w:sz w:val="18"/>
              </w:rPr>
              <w:t>DRF serializers</w:t>
            </w:r>
          </w:p>
        </w:tc>
        <w:tc>
          <w:tcPr>
            <w:tcW w:type="dxa" w:w="4536"/>
            <w:shd w:fill="EAF2FF"/>
            <w:tcMar>
              <w:top w:w="100" w:type="dxa"/>
              <w:start w:w="120" w:type="dxa"/>
              <w:bottom w:w="100" w:type="dxa"/>
              <w:end w:w="120" w:type="dxa"/>
            </w:tcMar>
            <w:vAlign w:val="center"/>
          </w:tcPr>
          <w:p>
            <w:pPr>
              <w:spacing w:after="0" w:line="252" w:lineRule="auto"/>
            </w:pPr>
            <w:r>
              <w:rPr>
                <w:rFonts w:ascii="Aptos" w:hAnsi="Aptos"/>
                <w:color w:val="000000"/>
                <w:sz w:val="18"/>
              </w:rPr>
              <w:t>Serializers validate API input and output.</w:t>
            </w:r>
          </w:p>
        </w:tc>
      </w:tr>
      <w:tr>
        <w:tc>
          <w:tcPr>
            <w:tcW w:type="dxa" w:w="2232"/>
            <w:shd w:fill="FFFFFF"/>
            <w:tcMar>
              <w:top w:w="100" w:type="dxa"/>
              <w:start w:w="120" w:type="dxa"/>
              <w:bottom w:w="100" w:type="dxa"/>
              <w:end w:w="120" w:type="dxa"/>
            </w:tcMar>
            <w:vAlign w:val="center"/>
          </w:tcPr>
          <w:p>
            <w:pPr>
              <w:spacing w:after="0" w:line="252" w:lineRule="auto"/>
            </w:pPr>
            <w:r>
              <w:rPr>
                <w:rFonts w:ascii="Aptos" w:hAnsi="Aptos"/>
                <w:color w:val="000000"/>
                <w:sz w:val="18"/>
              </w:rPr>
              <w:t>App factory</w:t>
            </w:r>
          </w:p>
        </w:tc>
        <w:tc>
          <w:tcPr>
            <w:tcW w:type="dxa" w:w="2520"/>
            <w:shd w:fill="FFFFFF"/>
            <w:tcMar>
              <w:top w:w="100" w:type="dxa"/>
              <w:start w:w="120" w:type="dxa"/>
              <w:bottom w:w="100" w:type="dxa"/>
              <w:end w:w="120" w:type="dxa"/>
            </w:tcMar>
            <w:vAlign w:val="center"/>
          </w:tcPr>
          <w:p>
            <w:pPr>
              <w:spacing w:after="0" w:line="252" w:lineRule="auto"/>
            </w:pPr>
            <w:r>
              <w:rPr>
                <w:rFonts w:ascii="Aptos" w:hAnsi="Aptos"/>
                <w:color w:val="000000"/>
                <w:sz w:val="18"/>
              </w:rPr>
              <w:t>Settings plus ASGI or WSGI</w:t>
            </w:r>
          </w:p>
        </w:tc>
        <w:tc>
          <w:tcPr>
            <w:tcW w:type="dxa" w:w="4536"/>
            <w:shd w:fill="FFFFFF"/>
            <w:tcMar>
              <w:top w:w="100" w:type="dxa"/>
              <w:start w:w="120" w:type="dxa"/>
              <w:bottom w:w="100" w:type="dxa"/>
              <w:end w:w="120" w:type="dxa"/>
            </w:tcMar>
            <w:vAlign w:val="center"/>
          </w:tcPr>
          <w:p>
            <w:pPr>
              <w:spacing w:after="0" w:line="252" w:lineRule="auto"/>
            </w:pPr>
            <w:r>
              <w:rPr>
                <w:rFonts w:ascii="Aptos" w:hAnsi="Aptos"/>
                <w:color w:val="000000"/>
                <w:sz w:val="18"/>
              </w:rPr>
              <w:t>Django initializes installed apps and infrastructure.</w:t>
            </w:r>
          </w:p>
        </w:tc>
      </w:tr>
      <w:tr>
        <w:tc>
          <w:tcPr>
            <w:tcW w:type="dxa" w:w="2232"/>
            <w:shd w:fill="EAF2FF"/>
            <w:tcMar>
              <w:top w:w="100" w:type="dxa"/>
              <w:start w:w="120" w:type="dxa"/>
              <w:bottom w:w="100" w:type="dxa"/>
              <w:end w:w="120" w:type="dxa"/>
            </w:tcMar>
            <w:vAlign w:val="center"/>
          </w:tcPr>
          <w:p>
            <w:pPr>
              <w:spacing w:after="0" w:line="252" w:lineRule="auto"/>
            </w:pPr>
            <w:r>
              <w:rPr>
                <w:rFonts w:ascii="Aptos" w:hAnsi="Aptos"/>
                <w:color w:val="000000"/>
                <w:sz w:val="18"/>
              </w:rPr>
              <w:t>config.py</w:t>
            </w:r>
          </w:p>
        </w:tc>
        <w:tc>
          <w:tcPr>
            <w:tcW w:type="dxa" w:w="2520"/>
            <w:shd w:fill="EAF2FF"/>
            <w:tcMar>
              <w:top w:w="100" w:type="dxa"/>
              <w:start w:w="120" w:type="dxa"/>
              <w:bottom w:w="100" w:type="dxa"/>
              <w:end w:w="120" w:type="dxa"/>
            </w:tcMar>
            <w:vAlign w:val="center"/>
          </w:tcPr>
          <w:p>
            <w:pPr>
              <w:spacing w:after="0" w:line="252" w:lineRule="auto"/>
            </w:pPr>
            <w:r>
              <w:rPr>
                <w:rFonts w:ascii="Aptos" w:hAnsi="Aptos"/>
                <w:color w:val="000000"/>
                <w:sz w:val="18"/>
              </w:rPr>
              <w:t>config/settings package</w:t>
            </w:r>
          </w:p>
        </w:tc>
        <w:tc>
          <w:tcPr>
            <w:tcW w:type="dxa" w:w="4536"/>
            <w:shd w:fill="EAF2FF"/>
            <w:tcMar>
              <w:top w:w="100" w:type="dxa"/>
              <w:start w:w="120" w:type="dxa"/>
              <w:bottom w:w="100" w:type="dxa"/>
              <w:end w:w="120" w:type="dxa"/>
            </w:tcMar>
            <w:vAlign w:val="center"/>
          </w:tcPr>
          <w:p>
            <w:pPr>
              <w:spacing w:after="0" w:line="252" w:lineRule="auto"/>
            </w:pPr>
            <w:r>
              <w:rPr>
                <w:rFonts w:ascii="Aptos" w:hAnsi="Aptos"/>
                <w:color w:val="000000"/>
                <w:sz w:val="18"/>
              </w:rPr>
              <w:t>Separate base, local, test, and production settings.</w:t>
            </w:r>
          </w:p>
        </w:tc>
      </w:tr>
      <w:tr>
        <w:tc>
          <w:tcPr>
            <w:tcW w:type="dxa" w:w="2232"/>
            <w:shd w:fill="FFFFFF"/>
            <w:tcMar>
              <w:top w:w="100" w:type="dxa"/>
              <w:start w:w="120" w:type="dxa"/>
              <w:bottom w:w="100" w:type="dxa"/>
              <w:end w:w="120" w:type="dxa"/>
            </w:tcMar>
            <w:vAlign w:val="center"/>
          </w:tcPr>
          <w:p>
            <w:pPr>
              <w:spacing w:after="0" w:line="252" w:lineRule="auto"/>
            </w:pPr>
            <w:r>
              <w:rPr>
                <w:rFonts w:ascii="Aptos" w:hAnsi="Aptos"/>
                <w:color w:val="000000"/>
                <w:sz w:val="18"/>
              </w:rPr>
              <w:t>run.py</w:t>
            </w:r>
          </w:p>
        </w:tc>
        <w:tc>
          <w:tcPr>
            <w:tcW w:type="dxa" w:w="2520"/>
            <w:shd w:fill="FFFFFF"/>
            <w:tcMar>
              <w:top w:w="100" w:type="dxa"/>
              <w:start w:w="120" w:type="dxa"/>
              <w:bottom w:w="100" w:type="dxa"/>
              <w:end w:w="120" w:type="dxa"/>
            </w:tcMar>
            <w:vAlign w:val="center"/>
          </w:tcPr>
          <w:p>
            <w:pPr>
              <w:spacing w:after="0" w:line="252" w:lineRule="auto"/>
            </w:pPr>
            <w:r>
              <w:rPr>
                <w:rFonts w:ascii="Aptos" w:hAnsi="Aptos"/>
                <w:color w:val="000000"/>
                <w:sz w:val="18"/>
              </w:rPr>
              <w:t>manage.py and ASGI or WSGI</w:t>
            </w:r>
          </w:p>
        </w:tc>
        <w:tc>
          <w:tcPr>
            <w:tcW w:type="dxa" w:w="4536"/>
            <w:shd w:fill="FFFFFF"/>
            <w:tcMar>
              <w:top w:w="100" w:type="dxa"/>
              <w:start w:w="120" w:type="dxa"/>
              <w:bottom w:w="100" w:type="dxa"/>
              <w:end w:w="120" w:type="dxa"/>
            </w:tcMar>
            <w:vAlign w:val="center"/>
          </w:tcPr>
          <w:p>
            <w:pPr>
              <w:spacing w:after="0" w:line="252" w:lineRule="auto"/>
            </w:pPr>
            <w:r>
              <w:rPr>
                <w:rFonts w:ascii="Aptos" w:hAnsi="Aptos"/>
                <w:color w:val="000000"/>
                <w:sz w:val="18"/>
              </w:rPr>
              <w:t>Local commands use manage.py; deployment uses ASGI or WSGI.</w:t>
            </w:r>
          </w:p>
        </w:tc>
      </w:tr>
      <w:tr>
        <w:tc>
          <w:tcPr>
            <w:tcW w:type="dxa" w:w="2232"/>
            <w:shd w:fill="EAF2FF"/>
            <w:tcMar>
              <w:top w:w="100" w:type="dxa"/>
              <w:start w:w="120" w:type="dxa"/>
              <w:bottom w:w="100" w:type="dxa"/>
              <w:end w:w="120" w:type="dxa"/>
            </w:tcMar>
            <w:vAlign w:val="center"/>
          </w:tcPr>
          <w:p>
            <w:pPr>
              <w:spacing w:after="0" w:line="252" w:lineRule="auto"/>
            </w:pPr>
            <w:r>
              <w:rPr>
                <w:rFonts w:ascii="Aptos" w:hAnsi="Aptos"/>
                <w:color w:val="000000"/>
                <w:sz w:val="18"/>
              </w:rPr>
              <w:t>pip freeze</w:t>
            </w:r>
          </w:p>
        </w:tc>
        <w:tc>
          <w:tcPr>
            <w:tcW w:type="dxa" w:w="2520"/>
            <w:shd w:fill="EAF2FF"/>
            <w:tcMar>
              <w:top w:w="100" w:type="dxa"/>
              <w:start w:w="120" w:type="dxa"/>
              <w:bottom w:w="100" w:type="dxa"/>
              <w:end w:w="120" w:type="dxa"/>
            </w:tcMar>
            <w:vAlign w:val="center"/>
          </w:tcPr>
          <w:p>
            <w:pPr>
              <w:spacing w:after="0" w:line="252" w:lineRule="auto"/>
            </w:pPr>
            <w:r>
              <w:rPr>
                <w:rFonts w:ascii="Aptos" w:hAnsi="Aptos"/>
                <w:color w:val="000000"/>
                <w:sz w:val="18"/>
              </w:rPr>
              <w:t>pyproject.toml plus uv.lock</w:t>
            </w:r>
          </w:p>
        </w:tc>
        <w:tc>
          <w:tcPr>
            <w:tcW w:type="dxa" w:w="4536"/>
            <w:shd w:fill="EAF2FF"/>
            <w:tcMar>
              <w:top w:w="100" w:type="dxa"/>
              <w:start w:w="120" w:type="dxa"/>
              <w:bottom w:w="100" w:type="dxa"/>
              <w:end w:w="120" w:type="dxa"/>
            </w:tcMar>
            <w:vAlign w:val="center"/>
          </w:tcPr>
          <w:p>
            <w:pPr>
              <w:spacing w:after="0" w:line="252" w:lineRule="auto"/>
            </w:pPr>
            <w:r>
              <w:rPr>
                <w:rFonts w:ascii="Aptos" w:hAnsi="Aptos"/>
                <w:color w:val="000000"/>
                <w:sz w:val="18"/>
              </w:rPr>
              <w:t>Direct dependencies remain intentional and installs reproducible.</w:t>
            </w:r>
          </w:p>
        </w:tc>
      </w:tr>
    </w:tbl>
    <w:p>
      <w:pPr>
        <w:spacing w:after="0"/>
      </w:pPr>
    </w:p>
    <w:p>
      <w:pPr>
        <w:pStyle w:val="Heading1"/>
        <w:keepNext/>
        <w:keepLines/>
      </w:pPr>
      <w:r>
        <w:t>2 Repository structure and incremental growth</w:t>
      </w:r>
    </w:p>
    <w:p>
      <w:pPr>
        <w:spacing w:after="140" w:line="269" w:lineRule="auto"/>
      </w:pPr>
      <w:r>
        <w:rPr>
          <w:rFonts w:ascii="Aptos" w:hAnsi="Aptos"/>
          <w:color w:val="000000"/>
        </w:rPr>
        <w:t>The repository begins with one implemented domain app: accounts. Planned domains appear under the same apps directory as their requirements are implemented. Existing apps do not need to be reorganized when a new domain is added.</w:t>
      </w:r>
    </w:p>
    <w:p>
      <w:pPr>
        <w:sectPr>
          <w:pgSz w:w="11906" w:h="16838"/>
          <w:pgMar w:top="1020" w:right="1134" w:bottom="964" w:left="1134" w:header="720" w:footer="369" w:gutter="0"/>
          <w:cols w:space="720"/>
          <w:docGrid w:linePitch="360"/>
        </w:sectPr>
      </w:pPr>
    </w:p>
    <w:p>
      <w:pPr>
        <w:pStyle w:val="Heading1"/>
        <w:keepNext/>
        <w:keepLines/>
      </w:pPr>
      <w:r>
        <w:t>Repository structure and app growth</w:t>
      </w:r>
    </w:p>
    <w:p>
      <w:pPr>
        <w:spacing w:after="140" w:line="269" w:lineRule="auto"/>
      </w:pPr>
      <w:r>
        <w:rPr>
          <w:rFonts w:ascii="Aptos" w:hAnsi="Aptos"/>
          <w:color w:val="000000"/>
        </w:rPr>
        <w:t>Green nodes are part of the first implementation. Gray dashed nodes indicate planned growth. Blue nodes form the stable project foundation.</w:t>
      </w:r>
    </w:p>
    <w:p>
      <w:pPr>
        <w:spacing w:after="100"/>
        <w:jc w:val="center"/>
        <w:keepNext/>
        <w:keepLines/>
      </w:pPr>
      <w:r>
        <w:drawing>
          <wp:inline xmlns:a="http://schemas.openxmlformats.org/drawingml/2006/main" xmlns:pic="http://schemas.openxmlformats.org/drawingml/2006/picture">
            <wp:extent cx="9235440" cy="2308032"/>
            <wp:docPr id="1" name="Picture 1" descr="Diagram showing the Django backend folder structure, the current accounts application, its owned subfolders, and future clinical, commerce, and operations applications."/>
            <wp:cNvGraphicFramePr>
              <a:graphicFrameLocks noChangeAspect="1"/>
            </wp:cNvGraphicFramePr>
            <a:graphic>
              <a:graphicData uri="http://schemas.openxmlformats.org/drawingml/2006/picture">
                <pic:pic>
                  <pic:nvPicPr>
                    <pic:cNvPr id="0" name="backend-repository-growth.png"/>
                    <pic:cNvPicPr/>
                  </pic:nvPicPr>
                  <pic:blipFill>
                    <a:blip r:embed="rId10"/>
                    <a:stretch>
                      <a:fillRect/>
                    </a:stretch>
                  </pic:blipFill>
                  <pic:spPr>
                    <a:xfrm>
                      <a:off x="0" y="0"/>
                      <a:ext cx="9235440" cy="2308032"/>
                    </a:xfrm>
                    <a:prstGeom prst="rect"/>
                  </pic:spPr>
                </pic:pic>
              </a:graphicData>
            </a:graphic>
          </wp:inline>
        </w:drawing>
      </w:r>
    </w:p>
    <w:p>
      <w:pPr>
        <w:pStyle w:val="Caption"/>
        <w:spacing w:after="180"/>
        <w:jc w:val="center"/>
      </w:pPr>
      <w:r>
        <w:rPr>
          <w:rFonts w:ascii="Aptos" w:hAnsi="Aptos"/>
          <w:color w:val="6B7280"/>
          <w:sz w:val="18"/>
        </w:rPr>
        <w:t>Figure 1  Backend repository structure and incremental application growth</w:t>
      </w:r>
    </w:p>
    <w:p>
      <w:pPr>
        <w:spacing w:after="140" w:line="269" w:lineRule="auto"/>
      </w:pPr>
      <w:r>
        <w:rPr>
          <w:rFonts w:ascii="Aptos" w:hAnsi="Aptos"/>
          <w:b/>
          <w:color w:val="000000"/>
        </w:rPr>
        <w:t xml:space="preserve">How to read this diagram. </w:t>
      </w:r>
      <w:r>
        <w:rPr>
          <w:rFonts w:ascii="Aptos" w:hAnsi="Aptos"/>
          <w:color w:val="000000"/>
        </w:rPr>
        <w:t>The important ownership rule is vertical: prescriptions will live in apps/prescriptions with its own models, API, services, migrations, and tests. It will not be distributed across global models, routes, and services folders.</w:t>
      </w:r>
    </w:p>
    <w:p>
      <w:r>
        <w:br w:type="page"/>
      </w:r>
    </w:p>
    <w:p>
      <w:pPr>
        <w:pStyle w:val="Heading1"/>
        <w:keepNext/>
        <w:keepLines/>
      </w:pPr>
      <w:r>
        <w:t>Dependency direction inside each app</w:t>
      </w:r>
    </w:p>
    <w:p>
      <w:pPr>
        <w:spacing w:after="140" w:line="269" w:lineRule="auto"/>
      </w:pPr>
      <w:r>
        <w:rPr>
          <w:rFonts w:ascii="Aptos" w:hAnsi="Aptos"/>
          <w:color w:val="000000"/>
        </w:rPr>
        <w:t>Every domain app follows the same dependency direction. HTTP code calls a named service; the service applies policy and opens transaction boundaries; models and querysets persist state through the Django ORM.</w:t>
      </w:r>
    </w:p>
    <w:p>
      <w:pPr>
        <w:spacing w:after="100"/>
        <w:jc w:val="center"/>
        <w:keepNext/>
        <w:keepLines/>
      </w:pPr>
      <w:r>
        <w:drawing>
          <wp:inline xmlns:a="http://schemas.openxmlformats.org/drawingml/2006/main" xmlns:pic="http://schemas.openxmlformats.org/drawingml/2006/picture">
            <wp:extent cx="9144000" cy="2550833"/>
            <wp:docPr id="2" name="Picture 2" descr="Diagram showing API code calling application services, services using models and security policies, models using the Django ORM to reach PostgreSQL, future adapters behind interfaces, and app-owned tests verifying each layer."/>
            <wp:cNvGraphicFramePr>
              <a:graphicFrameLocks noChangeAspect="1"/>
            </wp:cNvGraphicFramePr>
            <a:graphic>
              <a:graphicData uri="http://schemas.openxmlformats.org/drawingml/2006/picture">
                <pic:pic>
                  <pic:nvPicPr>
                    <pic:cNvPr id="0" name="domain-app-dependency-direction.png"/>
                    <pic:cNvPicPr/>
                  </pic:nvPicPr>
                  <pic:blipFill>
                    <a:blip r:embed="rId11"/>
                    <a:stretch>
                      <a:fillRect/>
                    </a:stretch>
                  </pic:blipFill>
                  <pic:spPr>
                    <a:xfrm>
                      <a:off x="0" y="0"/>
                      <a:ext cx="9144000" cy="2550833"/>
                    </a:xfrm>
                    <a:prstGeom prst="rect"/>
                  </pic:spPr>
                </pic:pic>
              </a:graphicData>
            </a:graphic>
          </wp:inline>
        </w:drawing>
      </w:r>
    </w:p>
    <w:p>
      <w:pPr>
        <w:pStyle w:val="Caption"/>
        <w:spacing w:after="180"/>
        <w:jc w:val="center"/>
      </w:pPr>
      <w:r>
        <w:rPr>
          <w:rFonts w:ascii="Aptos" w:hAnsi="Aptos"/>
          <w:color w:val="6B7280"/>
          <w:sz w:val="18"/>
        </w:rPr>
        <w:t>Figure 2  Dependency direction used inside every domain app</w:t>
      </w:r>
    </w:p>
    <w:p>
      <w:pPr>
        <w:spacing w:after="140" w:line="269" w:lineRule="auto"/>
      </w:pPr>
      <w:r>
        <w:rPr>
          <w:rFonts w:ascii="Aptos" w:hAnsi="Aptos"/>
          <w:color w:val="000000"/>
        </w:rPr>
        <w:t>Dependencies point inward toward the business workflow. PostgreSQL, SMS, email, payments, and hardware must not be called directly from API views. Tests exercise each boundary at the appropriate level.</w:t>
      </w:r>
    </w:p>
    <w:p>
      <w:r>
        <w:br w:type="page"/>
      </w:r>
    </w:p>
    <w:p>
      <w:pPr>
        <w:pStyle w:val="Heading1"/>
        <w:keepNext/>
        <w:keepLines/>
      </w:pPr>
      <w:r>
        <w:t>Authentication database increment v1.1</w:t>
      </w:r>
    </w:p>
    <w:p>
      <w:pPr>
        <w:spacing w:after="140" w:line="269" w:lineRule="auto"/>
      </w:pPr>
      <w:r>
        <w:rPr>
          <w:rFonts w:ascii="Aptos" w:hAnsi="Aptos"/>
          <w:color w:val="000000"/>
        </w:rPr>
        <w:t>The first schema increment contains only users and refresh tokens. The user identifier is a readable non-personal primary key such as USR-0000000001, generated atomically by PostgreSQL.</w:t>
      </w:r>
    </w:p>
    <w:p>
      <w:pPr>
        <w:spacing w:after="100"/>
        <w:jc w:val="center"/>
        <w:keepNext/>
        <w:keepLines/>
      </w:pPr>
      <w:r>
        <w:drawing>
          <wp:inline xmlns:a="http://schemas.openxmlformats.org/drawingml/2006/main" xmlns:pic="http://schemas.openxmlformats.org/drawingml/2006/picture">
            <wp:extent cx="8869680" cy="5157554"/>
            <wp:docPr id="3" name="Picture 3" descr="Entity relationship diagram for users and refresh tokens, including the user ownership relationship and the refresh token replacement self-reference."/>
            <wp:cNvGraphicFramePr>
              <a:graphicFrameLocks noChangeAspect="1"/>
            </wp:cNvGraphicFramePr>
            <a:graphic>
              <a:graphicData uri="http://schemas.openxmlformats.org/drawingml/2006/picture">
                <pic:pic>
                  <pic:nvPicPr>
                    <pic:cNvPr id="0" name="auth-erd-v1.1.png"/>
                    <pic:cNvPicPr/>
                  </pic:nvPicPr>
                  <pic:blipFill>
                    <a:blip r:embed="rId12"/>
                    <a:stretch>
                      <a:fillRect/>
                    </a:stretch>
                  </pic:blipFill>
                  <pic:spPr>
                    <a:xfrm>
                      <a:off x="0" y="0"/>
                      <a:ext cx="8869680" cy="5157554"/>
                    </a:xfrm>
                    <a:prstGeom prst="rect"/>
                  </pic:spPr>
                </pic:pic>
              </a:graphicData>
            </a:graphic>
          </wp:inline>
        </w:drawing>
      </w:r>
    </w:p>
    <w:p>
      <w:pPr>
        <w:pStyle w:val="Caption"/>
        <w:spacing w:after="180"/>
        <w:jc w:val="center"/>
      </w:pPr>
      <w:r>
        <w:rPr>
          <w:rFonts w:ascii="Aptos" w:hAnsi="Aptos"/>
          <w:color w:val="6B7280"/>
          <w:sz w:val="18"/>
        </w:rPr>
        <w:t>Figure 3  Authentication entity relationship diagram v1.1</w:t>
      </w:r>
    </w:p>
    <w:p>
      <w:pPr>
        <w:sectPr>
          <w:pgSz w:w="16838" w:h="11906" w:orient="landscape"/>
          <w:pgMar w:top="765" w:right="822" w:bottom="765" w:left="822" w:header="720" w:footer="369" w:gutter="0"/>
          <w:cols w:space="720"/>
          <w:docGrid w:linePitch="360"/>
        </w:sectPr>
      </w:pPr>
    </w:p>
    <w:p>
      <w:pPr>
        <w:pStyle w:val="Heading1"/>
        <w:keepNext/>
        <w:keepLines/>
      </w:pPr>
      <w:r>
        <w:t>3 First implementation accounts</w:t>
      </w:r>
    </w:p>
    <w:p>
      <w:pPr>
        <w:spacing w:after="140" w:line="269" w:lineRule="auto"/>
      </w:pPr>
      <w:r>
        <w:rPr>
          <w:rFonts w:ascii="Aptos" w:hAnsi="Aptos"/>
          <w:color w:val="000000"/>
        </w:rPr>
        <w:t>The accounts app is the first complete vertical slice. It owns registration, login, access-token handling, AutoDoc refresh-token rotation, logout, and the persistence model shown in Figure 3.</w:t>
      </w:r>
    </w:p>
    <w:p>
      <w:pPr>
        <w:spacing w:before="100" w:after="200" w:line="240" w:lineRule="auto"/>
        <w:ind w:left="283" w:right="283"/>
        <w:shd w:fill="F6F7F9"/>
      </w:pPr>
      <w:r>
        <w:rPr>
          <w:rFonts w:ascii="Cascadia Mono" w:hAnsi="Cascadia Mono"/>
          <w:color w:val="000000"/>
          <w:sz w:val="17"/>
        </w:rPr>
        <w:t>apps/accounts/</w:t>
        <w:br/>
        <w:t>|-- admin.py</w:t>
        <w:br/>
        <w:t>|-- apps.py</w:t>
        <w:br/>
        <w:t>|-- managers.py</w:t>
        <w:br/>
        <w:t>|-- validators.py</w:t>
        <w:br/>
        <w:t>|-- models/</w:t>
        <w:br/>
        <w:t>|   |-- __init__.py</w:t>
        <w:br/>
        <w:t>|   |-- user.py</w:t>
        <w:br/>
        <w:t>|   `-- refresh_token.py</w:t>
        <w:br/>
        <w:t>|-- migrations/</w:t>
        <w:br/>
        <w:t>|   `-- 0001_initial.py</w:t>
        <w:br/>
        <w:t>|-- api/</w:t>
        <w:br/>
        <w:t>|   |-- urls.py</w:t>
        <w:br/>
        <w:t>|   |-- serializers.py</w:t>
        <w:br/>
        <w:t>|   `-- views.py</w:t>
        <w:br/>
        <w:t>|-- services/</w:t>
        <w:br/>
        <w:t>|   |-- registration.py</w:t>
        <w:br/>
        <w:t>|   |-- authentication.py</w:t>
        <w:br/>
        <w:t>|   |-- token_issuance.py</w:t>
        <w:br/>
        <w:t>|   |-- token_rotation.py</w:t>
        <w:br/>
        <w:t>|   `-- logout.py</w:t>
        <w:br/>
        <w:t>|-- security/</w:t>
        <w:br/>
        <w:t>|   `-- tokens.py</w:t>
        <w:br/>
        <w:t>`-- tests/</w:t>
        <w:br/>
        <w:t xml:space="preserve">    |-- test_models.py</w:t>
        <w:br/>
        <w:t xml:space="preserve">    |-- test_registration.py</w:t>
        <w:br/>
        <w:t xml:space="preserve">    |-- test_authentication.py</w:t>
        <w:br/>
        <w:t xml:space="preserve">    |-- test_token_rotation.py</w:t>
        <w:br/>
        <w:t xml:space="preserve">    `-- test_api.py</w:t>
      </w:r>
    </w:p>
    <w:p>
      <w:pPr>
        <w:pStyle w:val="Heading2"/>
        <w:keepNext/>
        <w:keepLines/>
      </w:pPr>
      <w:r>
        <w:t>Responsibilities</w:t>
      </w:r>
    </w:p>
    <w:tbl>
      <w:tblPr>
        <w:tblW w:type="auto" w:w="0"/>
        <w:jc w:val="center"/>
        <w:tblLayout w:type="fixed"/>
        <w:tblLook w:firstColumn="1" w:firstRow="1" w:lastColumn="0" w:lastRow="0" w:noHBand="0" w:noVBand="1" w:val="04A0"/>
        <w:tblBorders>
          <w:top w:val="single" w:sz="6" w:color="D9DDE5"/>
          <w:left w:val="single" w:sz="6" w:color="D9DDE5"/>
          <w:bottom w:val="single" w:sz="6" w:color="D9DDE5"/>
          <w:right w:val="single" w:sz="6" w:color="D9DDE5"/>
          <w:insideH w:val="single" w:sz="6" w:color="D9DDE5"/>
          <w:insideV w:val="single" w:sz="6" w:color="D9DDE5"/>
        </w:tblBorders>
      </w:tblPr>
      <w:tblGrid>
        <w:gridCol w:w="3213"/>
        <w:gridCol w:w="3213"/>
        <w:gridCol w:w="3213"/>
      </w:tblGrid>
      <w:tr>
        <w:trPr>
          <w:tblHeader w:val="true"/>
        </w:trPr>
        <w:tc>
          <w:tcPr>
            <w:tcW w:type="dxa" w:w="1656"/>
            <w:shd w:fill="172554"/>
            <w:tcMar>
              <w:top w:w="100" w:type="dxa"/>
              <w:start w:w="120" w:type="dxa"/>
              <w:bottom w:w="100" w:type="dxa"/>
              <w:end w:w="120" w:type="dxa"/>
            </w:tcMar>
            <w:vAlign w:val="center"/>
          </w:tcPr>
          <w:p>
            <w:pPr>
              <w:jc w:val="left"/>
            </w:pPr>
            <w:r>
              <w:rPr>
                <w:rFonts w:ascii="Aptos" w:hAnsi="Aptos"/>
                <w:b/>
                <w:color w:val="FFFFFF"/>
                <w:sz w:val="19"/>
              </w:rPr>
              <w:t>Area</w:t>
            </w:r>
          </w:p>
        </w:tc>
        <w:tc>
          <w:tcPr>
            <w:tcW w:type="dxa" w:w="3960"/>
            <w:shd w:fill="172554"/>
            <w:tcMar>
              <w:top w:w="100" w:type="dxa"/>
              <w:start w:w="120" w:type="dxa"/>
              <w:bottom w:w="100" w:type="dxa"/>
              <w:end w:w="120" w:type="dxa"/>
            </w:tcMar>
            <w:vAlign w:val="center"/>
          </w:tcPr>
          <w:p>
            <w:pPr>
              <w:jc w:val="left"/>
            </w:pPr>
            <w:r>
              <w:rPr>
                <w:rFonts w:ascii="Aptos" w:hAnsi="Aptos"/>
                <w:b/>
                <w:color w:val="FFFFFF"/>
                <w:sz w:val="19"/>
              </w:rPr>
              <w:t>Owns</w:t>
            </w:r>
          </w:p>
        </w:tc>
        <w:tc>
          <w:tcPr>
            <w:tcW w:type="dxa" w:w="3816"/>
            <w:shd w:fill="172554"/>
            <w:tcMar>
              <w:top w:w="100" w:type="dxa"/>
              <w:start w:w="120" w:type="dxa"/>
              <w:bottom w:w="100" w:type="dxa"/>
              <w:end w:w="120" w:type="dxa"/>
            </w:tcMar>
            <w:vAlign w:val="center"/>
          </w:tcPr>
          <w:p>
            <w:pPr>
              <w:jc w:val="left"/>
            </w:pPr>
            <w:r>
              <w:rPr>
                <w:rFonts w:ascii="Aptos" w:hAnsi="Aptos"/>
                <w:b/>
                <w:color w:val="FFFFFF"/>
                <w:sz w:val="19"/>
              </w:rPr>
              <w:t>Must not own</w:t>
            </w:r>
          </w:p>
        </w:tc>
      </w:tr>
      <w:tr>
        <w:tc>
          <w:tcPr>
            <w:tcW w:type="dxa" w:w="1656"/>
            <w:shd w:fill="FFFFFF"/>
            <w:tcMar>
              <w:top w:w="100" w:type="dxa"/>
              <w:start w:w="120" w:type="dxa"/>
              <w:bottom w:w="100" w:type="dxa"/>
              <w:end w:w="120" w:type="dxa"/>
            </w:tcMar>
            <w:vAlign w:val="center"/>
          </w:tcPr>
          <w:p>
            <w:pPr>
              <w:spacing w:after="0" w:line="252" w:lineRule="auto"/>
            </w:pPr>
            <w:r>
              <w:rPr>
                <w:rFonts w:ascii="Aptos" w:hAnsi="Aptos"/>
                <w:color w:val="000000"/>
                <w:sz w:val="18"/>
              </w:rPr>
              <w:t>Models</w:t>
            </w:r>
          </w:p>
        </w:tc>
        <w:tc>
          <w:tcPr>
            <w:tcW w:type="dxa" w:w="3960"/>
            <w:shd w:fill="FFFFFF"/>
            <w:tcMar>
              <w:top w:w="100" w:type="dxa"/>
              <w:start w:w="120" w:type="dxa"/>
              <w:bottom w:w="100" w:type="dxa"/>
              <w:end w:w="120" w:type="dxa"/>
            </w:tcMar>
            <w:vAlign w:val="center"/>
          </w:tcPr>
          <w:p>
            <w:pPr>
              <w:spacing w:after="0" w:line="252" w:lineRule="auto"/>
            </w:pPr>
            <w:r>
              <w:rPr>
                <w:rFonts w:ascii="Aptos" w:hAnsi="Aptos"/>
                <w:color w:val="000000"/>
                <w:sz w:val="18"/>
              </w:rPr>
              <w:t>Tables, relationships, constraints, query helpers</w:t>
            </w:r>
          </w:p>
        </w:tc>
        <w:tc>
          <w:tcPr>
            <w:tcW w:type="dxa" w:w="3816"/>
            <w:shd w:fill="FFFFFF"/>
            <w:tcMar>
              <w:top w:w="100" w:type="dxa"/>
              <w:start w:w="120" w:type="dxa"/>
              <w:bottom w:w="100" w:type="dxa"/>
              <w:end w:w="120" w:type="dxa"/>
            </w:tcMar>
            <w:vAlign w:val="center"/>
          </w:tcPr>
          <w:p>
            <w:pPr>
              <w:spacing w:after="0" w:line="252" w:lineRule="auto"/>
            </w:pPr>
            <w:r>
              <w:rPr>
                <w:rFonts w:ascii="Aptos" w:hAnsi="Aptos"/>
                <w:color w:val="000000"/>
                <w:sz w:val="18"/>
              </w:rPr>
              <w:t>HTTP parsing or token responses</w:t>
            </w:r>
          </w:p>
        </w:tc>
      </w:tr>
      <w:tr>
        <w:tc>
          <w:tcPr>
            <w:tcW w:type="dxa" w:w="1656"/>
            <w:shd w:fill="EAF2FF"/>
            <w:tcMar>
              <w:top w:w="100" w:type="dxa"/>
              <w:start w:w="120" w:type="dxa"/>
              <w:bottom w:w="100" w:type="dxa"/>
              <w:end w:w="120" w:type="dxa"/>
            </w:tcMar>
            <w:vAlign w:val="center"/>
          </w:tcPr>
          <w:p>
            <w:pPr>
              <w:spacing w:after="0" w:line="252" w:lineRule="auto"/>
            </w:pPr>
            <w:r>
              <w:rPr>
                <w:rFonts w:ascii="Aptos" w:hAnsi="Aptos"/>
                <w:color w:val="000000"/>
                <w:sz w:val="18"/>
              </w:rPr>
              <w:t>Migrations</w:t>
            </w:r>
          </w:p>
        </w:tc>
        <w:tc>
          <w:tcPr>
            <w:tcW w:type="dxa" w:w="3960"/>
            <w:shd w:fill="EAF2FF"/>
            <w:tcMar>
              <w:top w:w="100" w:type="dxa"/>
              <w:start w:w="120" w:type="dxa"/>
              <w:bottom w:w="100" w:type="dxa"/>
              <w:end w:w="120" w:type="dxa"/>
            </w:tcMar>
            <w:vAlign w:val="center"/>
          </w:tcPr>
          <w:p>
            <w:pPr>
              <w:spacing w:after="0" w:line="252" w:lineRule="auto"/>
            </w:pPr>
            <w:r>
              <w:rPr>
                <w:rFonts w:ascii="Aptos" w:hAnsi="Aptos"/>
                <w:color w:val="000000"/>
                <w:sz w:val="18"/>
              </w:rPr>
              <w:t>Versioned schema and data changes</w:t>
            </w:r>
          </w:p>
        </w:tc>
        <w:tc>
          <w:tcPr>
            <w:tcW w:type="dxa" w:w="3816"/>
            <w:shd w:fill="EAF2FF"/>
            <w:tcMar>
              <w:top w:w="100" w:type="dxa"/>
              <w:start w:w="120" w:type="dxa"/>
              <w:bottom w:w="100" w:type="dxa"/>
              <w:end w:w="120" w:type="dxa"/>
            </w:tcMar>
            <w:vAlign w:val="center"/>
          </w:tcPr>
          <w:p>
            <w:pPr>
              <w:spacing w:after="0" w:line="252" w:lineRule="auto"/>
            </w:pPr>
            <w:r>
              <w:rPr>
                <w:rFonts w:ascii="Aptos" w:hAnsi="Aptos"/>
                <w:color w:val="000000"/>
                <w:sz w:val="18"/>
              </w:rPr>
              <w:t>Untracked manual production edits</w:t>
            </w:r>
          </w:p>
        </w:tc>
      </w:tr>
      <w:tr>
        <w:tc>
          <w:tcPr>
            <w:tcW w:type="dxa" w:w="1656"/>
            <w:shd w:fill="FFFFFF"/>
            <w:tcMar>
              <w:top w:w="100" w:type="dxa"/>
              <w:start w:w="120" w:type="dxa"/>
              <w:bottom w:w="100" w:type="dxa"/>
              <w:end w:w="120" w:type="dxa"/>
            </w:tcMar>
            <w:vAlign w:val="center"/>
          </w:tcPr>
          <w:p>
            <w:pPr>
              <w:spacing w:after="0" w:line="252" w:lineRule="auto"/>
            </w:pPr>
            <w:r>
              <w:rPr>
                <w:rFonts w:ascii="Aptos" w:hAnsi="Aptos"/>
                <w:color w:val="000000"/>
                <w:sz w:val="18"/>
              </w:rPr>
              <w:t>API</w:t>
            </w:r>
          </w:p>
        </w:tc>
        <w:tc>
          <w:tcPr>
            <w:tcW w:type="dxa" w:w="3960"/>
            <w:shd w:fill="FFFFFF"/>
            <w:tcMar>
              <w:top w:w="100" w:type="dxa"/>
              <w:start w:w="120" w:type="dxa"/>
              <w:bottom w:w="100" w:type="dxa"/>
              <w:end w:w="120" w:type="dxa"/>
            </w:tcMar>
            <w:vAlign w:val="center"/>
          </w:tcPr>
          <w:p>
            <w:pPr>
              <w:spacing w:after="0" w:line="252" w:lineRule="auto"/>
            </w:pPr>
            <w:r>
              <w:rPr>
                <w:rFonts w:ascii="Aptos" w:hAnsi="Aptos"/>
                <w:color w:val="000000"/>
                <w:sz w:val="18"/>
              </w:rPr>
              <w:t>URLs, serializers, request and response handling</w:t>
            </w:r>
          </w:p>
        </w:tc>
        <w:tc>
          <w:tcPr>
            <w:tcW w:type="dxa" w:w="3816"/>
            <w:shd w:fill="FFFFFF"/>
            <w:tcMar>
              <w:top w:w="100" w:type="dxa"/>
              <w:start w:w="120" w:type="dxa"/>
              <w:bottom w:w="100" w:type="dxa"/>
              <w:end w:w="120" w:type="dxa"/>
            </w:tcMar>
            <w:vAlign w:val="center"/>
          </w:tcPr>
          <w:p>
            <w:pPr>
              <w:spacing w:after="0" w:line="252" w:lineRule="auto"/>
            </w:pPr>
            <w:r>
              <w:rPr>
                <w:rFonts w:ascii="Aptos" w:hAnsi="Aptos"/>
                <w:color w:val="000000"/>
                <w:sz w:val="18"/>
              </w:rPr>
              <w:t>Complete business workflows</w:t>
            </w:r>
          </w:p>
        </w:tc>
      </w:tr>
      <w:tr>
        <w:tc>
          <w:tcPr>
            <w:tcW w:type="dxa" w:w="1656"/>
            <w:shd w:fill="EAF2FF"/>
            <w:tcMar>
              <w:top w:w="100" w:type="dxa"/>
              <w:start w:w="120" w:type="dxa"/>
              <w:bottom w:w="100" w:type="dxa"/>
              <w:end w:w="120" w:type="dxa"/>
            </w:tcMar>
            <w:vAlign w:val="center"/>
          </w:tcPr>
          <w:p>
            <w:pPr>
              <w:spacing w:after="0" w:line="252" w:lineRule="auto"/>
            </w:pPr>
            <w:r>
              <w:rPr>
                <w:rFonts w:ascii="Aptos" w:hAnsi="Aptos"/>
                <w:color w:val="000000"/>
                <w:sz w:val="18"/>
              </w:rPr>
              <w:t>Services</w:t>
            </w:r>
          </w:p>
        </w:tc>
        <w:tc>
          <w:tcPr>
            <w:tcW w:type="dxa" w:w="3960"/>
            <w:shd w:fill="EAF2FF"/>
            <w:tcMar>
              <w:top w:w="100" w:type="dxa"/>
              <w:start w:w="120" w:type="dxa"/>
              <w:bottom w:w="100" w:type="dxa"/>
              <w:end w:w="120" w:type="dxa"/>
            </w:tcMar>
            <w:vAlign w:val="center"/>
          </w:tcPr>
          <w:p>
            <w:pPr>
              <w:spacing w:after="0" w:line="252" w:lineRule="auto"/>
            </w:pPr>
            <w:r>
              <w:rPr>
                <w:rFonts w:ascii="Aptos" w:hAnsi="Aptos"/>
                <w:color w:val="000000"/>
                <w:sz w:val="18"/>
              </w:rPr>
              <w:t>Registration, authentication, token rotation, transactions</w:t>
            </w:r>
          </w:p>
        </w:tc>
        <w:tc>
          <w:tcPr>
            <w:tcW w:type="dxa" w:w="3816"/>
            <w:shd w:fill="EAF2FF"/>
            <w:tcMar>
              <w:top w:w="100" w:type="dxa"/>
              <w:start w:w="120" w:type="dxa"/>
              <w:bottom w:w="100" w:type="dxa"/>
              <w:end w:w="120" w:type="dxa"/>
            </w:tcMar>
            <w:vAlign w:val="center"/>
          </w:tcPr>
          <w:p>
            <w:pPr>
              <w:spacing w:after="0" w:line="252" w:lineRule="auto"/>
            </w:pPr>
            <w:r>
              <w:rPr>
                <w:rFonts w:ascii="Aptos" w:hAnsi="Aptos"/>
                <w:color w:val="000000"/>
                <w:sz w:val="18"/>
              </w:rPr>
              <w:t>Framework presentation concerns</w:t>
            </w:r>
          </w:p>
        </w:tc>
      </w:tr>
      <w:tr>
        <w:tc>
          <w:tcPr>
            <w:tcW w:type="dxa" w:w="1656"/>
            <w:shd w:fill="FFFFFF"/>
            <w:tcMar>
              <w:top w:w="100" w:type="dxa"/>
              <w:start w:w="120" w:type="dxa"/>
              <w:bottom w:w="100" w:type="dxa"/>
              <w:end w:w="120" w:type="dxa"/>
            </w:tcMar>
            <w:vAlign w:val="center"/>
          </w:tcPr>
          <w:p>
            <w:pPr>
              <w:spacing w:after="0" w:line="252" w:lineRule="auto"/>
            </w:pPr>
            <w:r>
              <w:rPr>
                <w:rFonts w:ascii="Aptos" w:hAnsi="Aptos"/>
                <w:color w:val="000000"/>
                <w:sz w:val="18"/>
              </w:rPr>
              <w:t>Security</w:t>
            </w:r>
          </w:p>
        </w:tc>
        <w:tc>
          <w:tcPr>
            <w:tcW w:type="dxa" w:w="3960"/>
            <w:shd w:fill="FFFFFF"/>
            <w:tcMar>
              <w:top w:w="100" w:type="dxa"/>
              <w:start w:w="120" w:type="dxa"/>
              <w:bottom w:w="100" w:type="dxa"/>
              <w:end w:w="120" w:type="dxa"/>
            </w:tcMar>
            <w:vAlign w:val="center"/>
          </w:tcPr>
          <w:p>
            <w:pPr>
              <w:spacing w:after="0" w:line="252" w:lineRule="auto"/>
            </w:pPr>
            <w:r>
              <w:rPr>
                <w:rFonts w:ascii="Aptos" w:hAnsi="Aptos"/>
                <w:color w:val="000000"/>
                <w:sz w:val="18"/>
              </w:rPr>
              <w:t>Access-token claims and refresh-token primitives</w:t>
            </w:r>
          </w:p>
        </w:tc>
        <w:tc>
          <w:tcPr>
            <w:tcW w:type="dxa" w:w="3816"/>
            <w:shd w:fill="FFFFFF"/>
            <w:tcMar>
              <w:top w:w="100" w:type="dxa"/>
              <w:start w:w="120" w:type="dxa"/>
              <w:bottom w:w="100" w:type="dxa"/>
              <w:end w:w="120" w:type="dxa"/>
            </w:tcMar>
            <w:vAlign w:val="center"/>
          </w:tcPr>
          <w:p>
            <w:pPr>
              <w:spacing w:after="0" w:line="252" w:lineRule="auto"/>
            </w:pPr>
            <w:r>
              <w:rPr>
                <w:rFonts w:ascii="Aptos" w:hAnsi="Aptos"/>
                <w:color w:val="000000"/>
                <w:sz w:val="18"/>
              </w:rPr>
              <w:t>Custom cryptographic algorithms</w:t>
            </w:r>
          </w:p>
        </w:tc>
      </w:tr>
      <w:tr>
        <w:tc>
          <w:tcPr>
            <w:tcW w:type="dxa" w:w="1656"/>
            <w:shd w:fill="EAF2FF"/>
            <w:tcMar>
              <w:top w:w="100" w:type="dxa"/>
              <w:start w:w="120" w:type="dxa"/>
              <w:bottom w:w="100" w:type="dxa"/>
              <w:end w:w="120" w:type="dxa"/>
            </w:tcMar>
            <w:vAlign w:val="center"/>
          </w:tcPr>
          <w:p>
            <w:pPr>
              <w:spacing w:after="0" w:line="252" w:lineRule="auto"/>
            </w:pPr>
            <w:r>
              <w:rPr>
                <w:rFonts w:ascii="Aptos" w:hAnsi="Aptos"/>
                <w:color w:val="000000"/>
                <w:sz w:val="18"/>
              </w:rPr>
              <w:t>Tests</w:t>
            </w:r>
          </w:p>
        </w:tc>
        <w:tc>
          <w:tcPr>
            <w:tcW w:type="dxa" w:w="3960"/>
            <w:shd w:fill="EAF2FF"/>
            <w:tcMar>
              <w:top w:w="100" w:type="dxa"/>
              <w:start w:w="120" w:type="dxa"/>
              <w:bottom w:w="100" w:type="dxa"/>
              <w:end w:w="120" w:type="dxa"/>
            </w:tcMar>
            <w:vAlign w:val="center"/>
          </w:tcPr>
          <w:p>
            <w:pPr>
              <w:spacing w:after="0" w:line="252" w:lineRule="auto"/>
            </w:pPr>
            <w:r>
              <w:rPr>
                <w:rFonts w:ascii="Aptos" w:hAnsi="Aptos"/>
                <w:color w:val="000000"/>
                <w:sz w:val="18"/>
              </w:rPr>
              <w:t>Model, service, API, security, and transaction behavior</w:t>
            </w:r>
          </w:p>
        </w:tc>
        <w:tc>
          <w:tcPr>
            <w:tcW w:type="dxa" w:w="3816"/>
            <w:shd w:fill="EAF2FF"/>
            <w:tcMar>
              <w:top w:w="100" w:type="dxa"/>
              <w:start w:w="120" w:type="dxa"/>
              <w:bottom w:w="100" w:type="dxa"/>
              <w:end w:w="120" w:type="dxa"/>
            </w:tcMar>
            <w:vAlign w:val="center"/>
          </w:tcPr>
          <w:p>
            <w:pPr>
              <w:spacing w:after="0" w:line="252" w:lineRule="auto"/>
            </w:pPr>
            <w:r>
              <w:rPr>
                <w:rFonts w:ascii="Aptos" w:hAnsi="Aptos"/>
                <w:color w:val="000000"/>
                <w:sz w:val="18"/>
              </w:rPr>
              <w:t>Assertions written only to mirror implementation</w:t>
            </w:r>
          </w:p>
        </w:tc>
      </w:tr>
    </w:tbl>
    <w:p>
      <w:pPr>
        <w:spacing w:after="0"/>
      </w:pPr>
    </w:p>
    <w:p>
      <w:pPr>
        <w:pStyle w:val="Heading2"/>
        <w:keepNext/>
        <w:keepLines/>
      </w:pPr>
      <w:r>
        <w:t>Authentication behavior</w:t>
      </w:r>
    </w:p>
    <w:p>
      <w:pPr>
        <w:spacing w:after="140" w:line="269" w:lineRule="auto"/>
      </w:pPr>
      <w:r>
        <w:rPr>
          <w:rFonts w:ascii="Aptos" w:hAnsi="Aptos"/>
          <w:color w:val="000000"/>
        </w:rPr>
        <w:t>Kiosk users authenticate with a four-digit PIN. AutoDoc users authenticate with a normal strong password. Both are stored only as a Django-supported password hash in credential_hash, while credential_kind selects the applicable input policy.</w:t>
      </w:r>
    </w:p>
    <w:p>
      <w:pPr>
        <w:pStyle w:val="ListBullet"/>
        <w:spacing w:after="80" w:line="259" w:lineRule="auto"/>
      </w:pPr>
      <w:r>
        <w:rPr>
          <w:rFonts w:ascii="Aptos" w:hAnsi="Aptos"/>
          <w:color w:val="000000"/>
        </w:rPr>
        <w:t>Kiosk access tokens are short lived, held only in frontend memory, and cannot be refreshed.</w:t>
      </w:r>
    </w:p>
    <w:p>
      <w:pPr>
        <w:pStyle w:val="ListBullet"/>
        <w:spacing w:after="80" w:line="259" w:lineRule="auto"/>
      </w:pPr>
      <w:r>
        <w:rPr>
          <w:rFonts w:ascii="Aptos" w:hAnsi="Aptos"/>
          <w:color w:val="000000"/>
        </w:rPr>
        <w:t>The frontend displays the inactivity warning and clears state; the backend always enforces token expiry.</w:t>
      </w:r>
    </w:p>
    <w:p>
      <w:pPr>
        <w:pStyle w:val="ListBullet"/>
        <w:spacing w:after="80" w:line="259" w:lineRule="auto"/>
      </w:pPr>
      <w:r>
        <w:rPr>
          <w:rFonts w:ascii="Aptos" w:hAnsi="Aptos"/>
          <w:color w:val="000000"/>
        </w:rPr>
        <w:t>AutoDoc uses short-lived access tokens plus rotating refresh tokens.</w:t>
      </w:r>
    </w:p>
    <w:p>
      <w:pPr>
        <w:pStyle w:val="ListBullet"/>
        <w:spacing w:after="80" w:line="259" w:lineRule="auto"/>
      </w:pPr>
      <w:r>
        <w:rPr>
          <w:rFonts w:ascii="Aptos" w:hAnsi="Aptos"/>
          <w:color w:val="000000"/>
        </w:rPr>
        <w:t>Refresh rotation creates the replacement and revokes the old token inside one database transaction.</w:t>
      </w:r>
    </w:p>
    <w:p>
      <w:pPr>
        <w:pStyle w:val="ListBullet"/>
        <w:spacing w:after="80" w:line="259" w:lineRule="auto"/>
      </w:pPr>
      <w:r>
        <w:rPr>
          <w:rFonts w:ascii="Aptos" w:hAnsi="Aptos"/>
          <w:color w:val="000000"/>
        </w:rPr>
        <w:t>The database stores only a hash of each refresh token, never the raw token.</w:t>
      </w:r>
    </w:p>
    <w:p>
      <w:pPr>
        <w:pStyle w:val="ListBullet"/>
        <w:spacing w:after="80" w:line="259" w:lineRule="auto"/>
      </w:pPr>
      <w:r>
        <w:rPr>
          <w:rFonts w:ascii="Aptos" w:hAnsi="Aptos"/>
          <w:color w:val="000000"/>
        </w:rPr>
        <w:t>phone_country_code records the selected phone region, while phone_number stores the normalized E.164 value.</w:t>
      </w:r>
    </w:p>
    <w:p>
      <w:pPr>
        <w:pStyle w:val="Heading1"/>
        <w:keepNext/>
        <w:keepLines/>
      </w:pPr>
      <w:r>
        <w:t>4 Django conventions we will use</w:t>
      </w:r>
    </w:p>
    <w:p>
      <w:pPr>
        <w:pStyle w:val="Heading2"/>
        <w:keepNext/>
        <w:keepLines/>
      </w:pPr>
      <w:r>
        <w:t>Configuration</w:t>
      </w:r>
    </w:p>
    <w:p>
      <w:pPr>
        <w:spacing w:after="140" w:line="269" w:lineRule="auto"/>
      </w:pPr>
      <w:r>
        <w:rPr>
          <w:rFonts w:ascii="Aptos" w:hAnsi="Aptos"/>
          <w:color w:val="000000"/>
        </w:rPr>
        <w:t>The config/settings package replaces the Flask configuration class. base.py holds shared settings; local.py, test.py, and production.py apply environment-specific behavior. Secrets are read from environment variables. .env remains local and .env.example is committed with placeholders.</w:t>
      </w:r>
    </w:p>
    <w:p>
      <w:pPr>
        <w:pStyle w:val="Heading2"/>
        <w:keepNext/>
        <w:keepLines/>
      </w:pPr>
      <w:r>
        <w:t>Models and migrations</w:t>
      </w:r>
    </w:p>
    <w:p>
      <w:pPr>
        <w:spacing w:after="140" w:line="269" w:lineRule="auto"/>
      </w:pPr>
      <w:r>
        <w:rPr>
          <w:rFonts w:ascii="Aptos" w:hAnsi="Aptos"/>
          <w:color w:val="000000"/>
        </w:rPr>
        <w:t>Django models are the schema source of truth. makemigrations creates declarative migration files inside the owning app, and migrate applies them to PostgreSQL. Migration files are reviewed and committed with their model changes.</w:t>
      </w:r>
    </w:p>
    <w:p>
      <w:pPr>
        <w:pStyle w:val="Heading2"/>
        <w:keepNext/>
        <w:keepLines/>
      </w:pPr>
      <w:r>
        <w:t>Security primitives</w:t>
      </w:r>
    </w:p>
    <w:p>
      <w:pPr>
        <w:spacing w:after="140" w:line="269" w:lineRule="auto"/>
      </w:pPr>
      <w:r>
        <w:rPr>
          <w:rFonts w:ascii="Aptos" w:hAnsi="Aptos"/>
          <w:color w:val="000000"/>
        </w:rPr>
        <w:t>Password and PIN hashing will use Django's maintained hashing framework. Project code may enforce PIN or password policy and coordinate tokens, but it will not implement its own hash algorithms, salts, or timing-safe comparisons.</w:t>
      </w:r>
    </w:p>
    <w:p>
      <w:pPr>
        <w:pStyle w:val="Heading2"/>
        <w:keepNext/>
        <w:keepLines/>
      </w:pPr>
      <w:r>
        <w:t>Dependencies and environments</w:t>
      </w:r>
    </w:p>
    <w:p>
      <w:pPr>
        <w:spacing w:after="140" w:line="269" w:lineRule="auto"/>
      </w:pPr>
      <w:r>
        <w:rPr>
          <w:rFonts w:ascii="Aptos" w:hAnsi="Aptos"/>
          <w:color w:val="000000"/>
        </w:rPr>
        <w:t>pyproject.toml declares intentional dependencies and uv.lock records exact resolved versions. The local .venv directory is ignored by Git. The PostgreSQL service runs through Docker Compose, and the same locked dependency set is used by both backend developers and CI.</w:t>
      </w:r>
    </w:p>
    <w:p>
      <w:pPr>
        <w:pStyle w:val="Heading1"/>
        <w:keepNext/>
        <w:keepLines/>
      </w:pPr>
      <w:r>
        <w:t>5 Development workflow</w:t>
      </w:r>
    </w:p>
    <w:p>
      <w:pPr>
        <w:pStyle w:val="ListNumber"/>
        <w:spacing w:after="100"/>
      </w:pPr>
      <w:r>
        <w:rPr>
          <w:rFonts w:ascii="Aptos" w:hAnsi="Aptos"/>
          <w:color w:val="000000"/>
        </w:rPr>
        <w:t>Create or update the relevant Django model inside its owning app.</w:t>
      </w:r>
    </w:p>
    <w:p>
      <w:pPr>
        <w:pStyle w:val="ListNumber"/>
        <w:spacing w:after="100"/>
      </w:pPr>
      <w:r>
        <w:rPr>
          <w:rFonts w:ascii="Aptos" w:hAnsi="Aptos"/>
          <w:color w:val="000000"/>
        </w:rPr>
        <w:t>Run makemigrations for that app and inspect the generated migration.</w:t>
      </w:r>
    </w:p>
    <w:p>
      <w:pPr>
        <w:pStyle w:val="ListNumber"/>
        <w:spacing w:after="100"/>
      </w:pPr>
      <w:r>
        <w:rPr>
          <w:rFonts w:ascii="Aptos" w:hAnsi="Aptos"/>
          <w:color w:val="000000"/>
        </w:rPr>
        <w:t>Use sqlmigrate when the generated SQL needs additional review.</w:t>
      </w:r>
    </w:p>
    <w:p>
      <w:pPr>
        <w:pStyle w:val="ListNumber"/>
        <w:spacing w:after="100"/>
      </w:pPr>
      <w:r>
        <w:rPr>
          <w:rFonts w:ascii="Aptos" w:hAnsi="Aptos"/>
          <w:color w:val="000000"/>
        </w:rPr>
        <w:t>Apply migrations to the local Docker PostgreSQL database.</w:t>
      </w:r>
    </w:p>
    <w:p>
      <w:pPr>
        <w:pStyle w:val="ListNumber"/>
        <w:spacing w:after="100"/>
      </w:pPr>
      <w:r>
        <w:rPr>
          <w:rFonts w:ascii="Aptos" w:hAnsi="Aptos"/>
          <w:color w:val="000000"/>
        </w:rPr>
        <w:t>Implement or update the named service and keep the API view thin.</w:t>
      </w:r>
    </w:p>
    <w:p>
      <w:pPr>
        <w:pStyle w:val="ListNumber"/>
        <w:spacing w:after="100"/>
      </w:pPr>
      <w:r>
        <w:rPr>
          <w:rFonts w:ascii="Aptos" w:hAnsi="Aptos"/>
          <w:color w:val="000000"/>
        </w:rPr>
        <w:t>Add model, service, API, and transaction tests for the changed behavior.</w:t>
      </w:r>
    </w:p>
    <w:p>
      <w:pPr>
        <w:pStyle w:val="ListNumber"/>
        <w:spacing w:after="100"/>
      </w:pPr>
      <w:r>
        <w:rPr>
          <w:rFonts w:ascii="Aptos" w:hAnsi="Aptos"/>
          <w:color w:val="000000"/>
        </w:rPr>
        <w:t>Run formatting, linting, type checks, and tests before opening a pull request.</w:t>
      </w:r>
    </w:p>
    <w:p>
      <w:pPr>
        <w:pStyle w:val="ListNumber"/>
        <w:spacing w:after="100"/>
      </w:pPr>
      <w:r>
        <w:rPr>
          <w:rFonts w:ascii="Aptos" w:hAnsi="Aptos"/>
          <w:color w:val="000000"/>
        </w:rPr>
        <w:t>Commit the model and its migration in the same pull request.</w:t>
      </w:r>
    </w:p>
    <w:p>
      <w:pPr>
        <w:pStyle w:val="Heading2"/>
        <w:keepNext/>
        <w:keepLines/>
      </w:pPr>
      <w:r>
        <w:t>Testing policy</w:t>
      </w:r>
    </w:p>
    <w:p>
      <w:pPr>
        <w:spacing w:after="140" w:line="269" w:lineRule="auto"/>
      </w:pPr>
      <w:r>
        <w:rPr>
          <w:rFonts w:ascii="Aptos" w:hAnsi="Aptos"/>
          <w:color w:val="000000"/>
        </w:rPr>
        <w:t>AI agents may help generate test code, but the team defines the expected behavior and reviews the assertions. Tests must not be weakened merely to make an implementation pass.</w:t>
      </w:r>
    </w:p>
    <w:p>
      <w:pPr>
        <w:pStyle w:val="ListBullet"/>
        <w:spacing w:after="80" w:line="259" w:lineRule="auto"/>
      </w:pPr>
      <w:r>
        <w:rPr>
          <w:rFonts w:ascii="Aptos" w:hAnsi="Aptos"/>
          <w:color w:val="000000"/>
        </w:rPr>
        <w:t>App-owned tests live under apps/&lt;domain&gt;/tests.</w:t>
      </w:r>
    </w:p>
    <w:p>
      <w:pPr>
        <w:pStyle w:val="ListBullet"/>
        <w:spacing w:after="80" w:line="259" w:lineRule="auto"/>
      </w:pPr>
      <w:r>
        <w:rPr>
          <w:rFonts w:ascii="Aptos" w:hAnsi="Aptos"/>
          <w:color w:val="000000"/>
        </w:rPr>
        <w:t>Cross-domain workflows live under backend/tests/integration.</w:t>
      </w:r>
    </w:p>
    <w:p>
      <w:pPr>
        <w:pStyle w:val="ListBullet"/>
        <w:spacing w:after="80" w:line="259" w:lineRule="auto"/>
      </w:pPr>
      <w:r>
        <w:rPr>
          <w:rFonts w:ascii="Aptos" w:hAnsi="Aptos"/>
          <w:color w:val="000000"/>
        </w:rPr>
        <w:t>Concurrency and transaction tests run against PostgreSQL, not SQLite.</w:t>
      </w:r>
    </w:p>
    <w:p>
      <w:pPr>
        <w:pStyle w:val="ListBullet"/>
        <w:spacing w:after="80" w:line="259" w:lineRule="auto"/>
      </w:pPr>
      <w:r>
        <w:rPr>
          <w:rFonts w:ascii="Aptos" w:hAnsi="Aptos"/>
          <w:color w:val="000000"/>
        </w:rPr>
        <w:t>Authentication tests cover disabled users, expiry, refresh rotation, replay, and rollback behavior.</w:t>
      </w:r>
    </w:p>
    <w:p>
      <w:pPr>
        <w:pStyle w:val="Heading1"/>
        <w:keepNext/>
        <w:keepLines/>
      </w:pPr>
      <w:r>
        <w:t>6 Guardrails for the architecture</w:t>
      </w:r>
    </w:p>
    <w:p>
      <w:pPr>
        <w:pStyle w:val="ListBullet"/>
        <w:spacing w:after="80" w:line="259" w:lineRule="auto"/>
      </w:pPr>
      <w:r>
        <w:rPr>
          <w:rFonts w:ascii="Aptos" w:hAnsi="Aptos"/>
          <w:color w:val="000000"/>
        </w:rPr>
        <w:t>Do not build global models, routes, and services folders that split one domain across the repository.</w:t>
      </w:r>
    </w:p>
    <w:p>
      <w:pPr>
        <w:pStyle w:val="ListBullet"/>
        <w:spacing w:after="80" w:line="259" w:lineRule="auto"/>
      </w:pPr>
      <w:r>
        <w:rPr>
          <w:rFonts w:ascii="Aptos" w:hAnsi="Aptos"/>
          <w:color w:val="000000"/>
        </w:rPr>
        <w:t>Do not create a repository class for every model; use Django managers and querysets unless a real boundary is needed.</w:t>
      </w:r>
    </w:p>
    <w:p>
      <w:pPr>
        <w:pStyle w:val="ListBullet"/>
        <w:spacing w:after="80" w:line="259" w:lineRule="auto"/>
      </w:pPr>
      <w:r>
        <w:rPr>
          <w:rFonts w:ascii="Aptos" w:hAnsi="Aptos"/>
          <w:color w:val="000000"/>
        </w:rPr>
        <w:t>Do not hide payment, inventory, prescription, or authentication transitions inside Django signals.</w:t>
      </w:r>
    </w:p>
    <w:p>
      <w:pPr>
        <w:pStyle w:val="ListBullet"/>
        <w:spacing w:after="80" w:line="259" w:lineRule="auto"/>
      </w:pPr>
      <w:r>
        <w:rPr>
          <w:rFonts w:ascii="Aptos" w:hAnsi="Aptos"/>
          <w:color w:val="000000"/>
        </w:rPr>
        <w:t>Do not place unrelated helpers in a growing utils module; keep helpers close to the domain that owns them.</w:t>
      </w:r>
    </w:p>
    <w:p>
      <w:pPr>
        <w:pStyle w:val="ListBullet"/>
        <w:spacing w:after="80" w:line="259" w:lineRule="auto"/>
      </w:pPr>
      <w:r>
        <w:rPr>
          <w:rFonts w:ascii="Aptos" w:hAnsi="Aptos"/>
          <w:color w:val="000000"/>
        </w:rPr>
        <w:t>Do not let serializers or views contain complete business workflows.</w:t>
      </w:r>
    </w:p>
    <w:p>
      <w:pPr>
        <w:pStyle w:val="ListBullet"/>
        <w:spacing w:after="80" w:line="259" w:lineRule="auto"/>
      </w:pPr>
      <w:r>
        <w:rPr>
          <w:rFonts w:ascii="Aptos" w:hAnsi="Aptos"/>
          <w:color w:val="000000"/>
        </w:rPr>
        <w:t>Do not commit .env, .venv, credentials, real patient data, or generated local database files.</w:t>
      </w:r>
    </w:p>
    <w:p>
      <w:pPr>
        <w:pStyle w:val="Heading1"/>
        <w:keepNext/>
        <w:keepLines/>
      </w:pPr>
      <w:r>
        <w:t>7 Immediate implementation sequence</w:t>
      </w:r>
    </w:p>
    <w:p>
      <w:pPr>
        <w:pStyle w:val="ListNumber"/>
        <w:spacing w:after="100"/>
      </w:pPr>
      <w:r>
        <w:rPr>
          <w:rFonts w:ascii="Aptos" w:hAnsi="Aptos"/>
          <w:color w:val="000000"/>
        </w:rPr>
        <w:t>Initialize the backend Python project with uv and select the supported Django baseline.</w:t>
      </w:r>
    </w:p>
    <w:p>
      <w:pPr>
        <w:pStyle w:val="ListNumber"/>
        <w:spacing w:after="100"/>
      </w:pPr>
      <w:r>
        <w:rPr>
          <w:rFonts w:ascii="Aptos" w:hAnsi="Aptos"/>
          <w:color w:val="000000"/>
        </w:rPr>
        <w:t>Create the Django project configuration and split settings into base, local, test, and production modules.</w:t>
      </w:r>
    </w:p>
    <w:p>
      <w:pPr>
        <w:pStyle w:val="ListNumber"/>
        <w:spacing w:after="100"/>
      </w:pPr>
      <w:r>
        <w:rPr>
          <w:rFonts w:ascii="Aptos" w:hAnsi="Aptos"/>
          <w:color w:val="000000"/>
        </w:rPr>
        <w:t>Connect Django to the Docker PostgreSQL service.</w:t>
      </w:r>
    </w:p>
    <w:p>
      <w:pPr>
        <w:pStyle w:val="ListNumber"/>
        <w:spacing w:after="100"/>
      </w:pPr>
      <w:r>
        <w:rPr>
          <w:rFonts w:ascii="Aptos" w:hAnsi="Aptos"/>
          <w:color w:val="000000"/>
        </w:rPr>
        <w:t>Create the accounts app and configure the custom user model before the first migrate command.</w:t>
      </w:r>
    </w:p>
    <w:p>
      <w:pPr>
        <w:pStyle w:val="ListNumber"/>
        <w:spacing w:after="100"/>
      </w:pPr>
      <w:r>
        <w:rPr>
          <w:rFonts w:ascii="Aptos" w:hAnsi="Aptos"/>
          <w:color w:val="000000"/>
        </w:rPr>
        <w:t>Implement User and RefreshToken models matching authentication ERD v1.1.</w:t>
      </w:r>
    </w:p>
    <w:p>
      <w:pPr>
        <w:pStyle w:val="ListNumber"/>
        <w:spacing w:after="100"/>
      </w:pPr>
      <w:r>
        <w:rPr>
          <w:rFonts w:ascii="Aptos" w:hAnsi="Aptos"/>
          <w:color w:val="000000"/>
        </w:rPr>
        <w:t>Generate and review accounts migration 0001_initial.</w:t>
      </w:r>
    </w:p>
    <w:p>
      <w:pPr>
        <w:pStyle w:val="ListNumber"/>
        <w:spacing w:after="100"/>
      </w:pPr>
      <w:r>
        <w:rPr>
          <w:rFonts w:ascii="Aptos" w:hAnsi="Aptos"/>
          <w:color w:val="000000"/>
        </w:rPr>
        <w:t>Implement registration, authentication, access-token, refresh rotation, and logout services.</w:t>
      </w:r>
    </w:p>
    <w:p>
      <w:pPr>
        <w:pStyle w:val="ListNumber"/>
        <w:spacing w:after="100"/>
      </w:pPr>
      <w:r>
        <w:rPr>
          <w:rFonts w:ascii="Aptos" w:hAnsi="Aptos"/>
          <w:color w:val="000000"/>
        </w:rPr>
        <w:t>Expose the initial /api/v1/auth endpoints through thin DRF views.</w:t>
      </w:r>
    </w:p>
    <w:p>
      <w:pPr>
        <w:pStyle w:val="ListNumber"/>
        <w:spacing w:after="100"/>
      </w:pPr>
      <w:r>
        <w:rPr>
          <w:rFonts w:ascii="Aptos" w:hAnsi="Aptos"/>
          <w:color w:val="000000"/>
        </w:rPr>
        <w:t>Add the accounts test suite and PostgreSQL transaction tests.</w:t>
      </w:r>
    </w:p>
    <w:p>
      <w:pPr>
        <w:pStyle w:val="ListNumber"/>
        <w:spacing w:after="100"/>
      </w:pPr>
      <w:r>
        <w:rPr>
          <w:rFonts w:ascii="Aptos" w:hAnsi="Aptos"/>
          <w:color w:val="000000"/>
        </w:rPr>
        <w:t>Run the complete stack through Docker Compose and prepare the first reviewable pull request.</w:t>
      </w:r>
    </w:p>
    <w:p>
      <w:pPr>
        <w:pStyle w:val="Heading2"/>
        <w:keepNext/>
        <w:keepLines/>
      </w:pPr>
      <w:r>
        <w:t>Discussion outcome</w:t>
      </w:r>
    </w:p>
    <w:p>
      <w:pPr>
        <w:spacing w:after="140" w:line="269" w:lineRule="auto"/>
      </w:pPr>
      <w:r>
        <w:rPr>
          <w:rFonts w:ascii="Aptos" w:hAnsi="Aptos"/>
          <w:color w:val="000000"/>
        </w:rPr>
        <w:t>The team should approve the folder ownership model, the dependency direction, authentication ERD v1.1, and the immediate implementation sequence before scaffolding begins. Later domain apps may add specialized components, but they should preserve these boundaries unless a documented requirement justifies a change.</w:t>
      </w:r>
    </w:p>
    <w:p>
      <w:pPr>
        <w:pStyle w:val="Heading2"/>
        <w:keepNext/>
        <w:keepLines/>
      </w:pPr>
      <w:r>
        <w:t>Source documents</w:t>
      </w:r>
    </w:p>
    <w:p>
      <w:pPr>
        <w:pStyle w:val="ListBullet"/>
        <w:spacing w:after="80" w:line="259" w:lineRule="auto"/>
      </w:pPr>
      <w:r>
        <w:rPr>
          <w:rFonts w:ascii="Aptos" w:hAnsi="Aptos"/>
          <w:color w:val="000000"/>
        </w:rPr>
        <w:t>01-requirements.md version 0.6</w:t>
      </w:r>
    </w:p>
    <w:p>
      <w:pPr>
        <w:pStyle w:val="ListBullet"/>
        <w:spacing w:after="80" w:line="259" w:lineRule="auto"/>
      </w:pPr>
      <w:r>
        <w:rPr>
          <w:rFonts w:ascii="Aptos" w:hAnsi="Aptos"/>
          <w:color w:val="000000"/>
        </w:rPr>
        <w:t>02-technology-stack.md version 1.2</w:t>
      </w:r>
    </w:p>
    <w:p>
      <w:pPr>
        <w:pStyle w:val="ListBullet"/>
        <w:spacing w:after="80" w:line="259" w:lineRule="auto"/>
      </w:pPr>
      <w:r>
        <w:rPr>
          <w:rFonts w:ascii="Aptos" w:hAnsi="Aptos"/>
          <w:color w:val="000000"/>
        </w:rPr>
        <w:t>CONTRIBUTING.md</w:t>
      </w:r>
    </w:p>
    <w:p>
      <w:pPr>
        <w:pStyle w:val="ListBullet"/>
        <w:spacing w:after="80" w:line="259" w:lineRule="auto"/>
      </w:pPr>
      <w:r>
        <w:rPr>
          <w:rFonts w:ascii="Aptos" w:hAnsi="Aptos"/>
          <w:color w:val="000000"/>
        </w:rPr>
        <w:t>v_auth_1.1 Mermaid ERD</w:t>
      </w:r>
    </w:p>
    <w:p>
      <w:pPr>
        <w:pStyle w:val="ListBullet"/>
        <w:spacing w:after="80" w:line="259" w:lineRule="auto"/>
      </w:pPr>
      <w:r>
        <w:rPr>
          <w:rFonts w:ascii="Aptos" w:hAnsi="Aptos"/>
          <w:color w:val="000000"/>
        </w:rPr>
        <w:t>v_backend_architecture_1.0 Mermaid diagrams</w:t>
      </w:r>
    </w:p>
    <w:sectPr w:rsidR="00FC693F" w:rsidRPr="0006063C" w:rsidSect="00034616">
      <w:pgSz w:w="11906" w:h="16838"/>
      <w:pgMar w:top="1020" w:right="1134" w:bottom="964" w:left="1134"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AutoPharm Backend Architecture and First Implementation Plan</dc:title>
  <dc:subject>Django backend architecture and authentication implementation plan</dc:subject>
  <dc:creator>AutoPharm Development Team</dc:creator>
  <cp:keywords>AutoPharm, Django, PostgreSQL, architecture, authentication</cp:keywords>
  <dc:description>generated by python-docx</dc:description>
  <cp:lastModifiedBy/>
  <cp:revision>1</cp:revision>
  <dcterms:created xsi:type="dcterms:W3CDTF">2013-12-23T23:15:00Z</dcterms:created>
  <dcterms:modified xsi:type="dcterms:W3CDTF">2013-12-23T23:15:00Z</dcterms:modified>
  <cp:category/>
</cp:coreProperties>
</file>