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Phase 3 - VaR Risk Layer: from a per-trade edge to a risk-controlled book</w:t>
      </w:r>
    </w:p>
    <w:p>
      <w:pPr>
        <w:pStyle w:val="Heading2"/>
      </w:pPr>
      <w:r>
        <w:t>What this phase set out to do</w:t>
      </w:r>
    </w:p>
    <w:p>
      <w:r>
        <w:t>Phases 0-2 proved a per-</w:t>
      </w:r>
      <w:r>
        <w:rPr>
          <w:b/>
        </w:rPr>
        <w:t>trade</w:t>
      </w:r>
      <w:r>
        <w:t xml:space="preserve"> edge (</w:t>
      </w:r>
      <w:r>
        <w:rPr>
          <w:rFonts w:ascii="Consolas" w:hAnsi="Consolas"/>
          <w:color w:val="B03060"/>
        </w:rPr>
        <w:t>ts_mom</w:t>
      </w:r>
      <w:r>
        <w:t>: OOS +54.5 bp/trade net of NSE delivery</w:t>
      </w:r>
    </w:p>
    <w:p>
      <w:r>
        <w:t>costs) but a per-trade edge is not a P&amp;L. Phase 3 builds the machinery that turns edges into</w:t>
      </w:r>
    </w:p>
    <w:p>
      <w:r>
        <w:t xml:space="preserve">a </w:t>
      </w:r>
      <w:r>
        <w:rPr>
          <w:b/>
        </w:rPr>
        <w:t>book</w:t>
      </w:r>
      <w:r>
        <w:t>: it sizes every position by tail risk, combines the two signal sleeves by a</w:t>
      </w:r>
    </w:p>
    <w:p>
      <w:r>
        <w:t>principled rule, bounds the whole book, and produces the first real equity curve with a</w:t>
      </w:r>
    </w:p>
    <w:p>
      <w:r>
        <w:t xml:space="preserve">CAGR, a Sharpe, and - the number that actually matters - a </w:t>
      </w:r>
      <w:r>
        <w:rPr>
          <w:b/>
        </w:rPr>
        <w:t>maximum drawdown</w:t>
      </w:r>
      <w:r>
        <w:t>.</w:t>
      </w:r>
    </w:p>
    <w:p>
      <w:r>
        <w:t>Two modules, both gate-validated:</w:t>
      </w:r>
    </w:p>
    <w:p>
      <w:pPr>
        <w:pStyle w:val="ListBullet"/>
      </w:pPr>
      <w:r>
        <w:rPr>
          <w:b/>
        </w:rPr>
        <w:t>`p8_swing_risk.py`</w:t>
      </w:r>
      <w:r>
        <w:t xml:space="preserve"> - a per-stock, per-day GARCH-EVT risk engine (ported from the</w:t>
      </w:r>
    </w:p>
    <w:p>
      <w:r>
        <w:t xml:space="preserve">  </w:t>
      </w:r>
      <w:r>
        <w:rPr>
          <w:rFonts w:ascii="Consolas" w:hAnsi="Consolas"/>
          <w:color w:val="B03060"/>
        </w:rPr>
        <w:t>Desktop/VaR Model</w:t>
      </w:r>
      <w:r>
        <w:t xml:space="preserve"> engine, numba-accelerated) plus VaR position sizing.</w:t>
      </w:r>
    </w:p>
    <w:p>
      <w:pPr>
        <w:pStyle w:val="ListBullet"/>
      </w:pPr>
      <w:r>
        <w:rPr>
          <w:b/>
        </w:rPr>
        <w:t>`p9_swing_portfolio.py`</w:t>
      </w:r>
      <w:r>
        <w:t xml:space="preserve"> - the portfolio book: risk-parity sleeve weighting, portfolio</w:t>
      </w:r>
    </w:p>
    <w:p>
      <w:r>
        <w:t xml:space="preserve">  caps, a rolling-drawdown kill switch, and the equity curve vs baselines.</w:t>
      </w:r>
    </w:p>
    <w:p>
      <w:pPr>
        <w:pStyle w:val="Heading2"/>
      </w:pPr>
      <w:r>
        <w:t>The risk engine (p8)</w:t>
      </w:r>
    </w:p>
    <w:p>
      <w:r>
        <w:t xml:space="preserve">For every stock, every day, on data </w:t>
      </w:r>
      <w:r>
        <w:rPr>
          <w:b/>
        </w:rPr>
        <w:t>strictly prior</w:t>
      </w:r>
      <w:r>
        <w:t xml:space="preserve"> to the decision (walk-forward, refit</w:t>
      </w:r>
    </w:p>
    <w:p>
      <w:r>
        <w:t>quarterly on an expanding window, variance recursion rolled forward between refits):</w:t>
      </w:r>
    </w:p>
    <w:p>
      <w:pPr>
        <w:pStyle w:val="ListBullet"/>
      </w:pPr>
      <w:r>
        <w:rPr>
          <w:b/>
        </w:rPr>
        <w:t>GJR-GARCH(1,1)</w:t>
      </w:r>
      <w:r>
        <w:t xml:space="preserve"> conditional volatility (asymmetric - crashes raise vol more than</w:t>
      </w:r>
    </w:p>
    <w:p>
      <w:r>
        <w:t xml:space="preserve">  rallies), fit by QMLE.</w:t>
      </w:r>
    </w:p>
    <w:p>
      <w:pPr>
        <w:pStyle w:val="ListBullet"/>
      </w:pPr>
      <w:r>
        <w:rPr>
          <w:b/>
        </w:rPr>
        <w:t>EVT / Generalized-Pareto</w:t>
      </w:r>
      <w:r>
        <w:t xml:space="preserve"> tail on the standardized residuals (McNeil-Frey-Embrechts).</w:t>
      </w:r>
    </w:p>
    <w:p>
      <w:pPr>
        <w:pStyle w:val="ListBullet"/>
      </w:pPr>
      <w:r>
        <w:t xml:space="preserve">Aggregated to the holding horizon (12 trading days) by GARCH multi-step, </w:t>
      </w:r>
      <w:r>
        <w:rPr>
          <w:b/>
        </w:rPr>
        <w:t>zero-drift</w:t>
      </w:r>
    </w:p>
    <w:p>
      <w:r>
        <w:t xml:space="preserve">  (the signal's positive edge is deliberately kept *out* of the risk estimate).</w:t>
      </w:r>
    </w:p>
    <w:p>
      <w:r>
        <w:t xml:space="preserve">Output: </w:t>
      </w:r>
      <w:r>
        <w:rPr>
          <w:rFonts w:ascii="Consolas" w:hAnsi="Consolas"/>
          <w:color w:val="B03060"/>
        </w:rPr>
        <w:t>var_per_unit</w:t>
      </w:r>
      <w:r>
        <w:t xml:space="preserve"> = the 99% loss over the 12-day hold </w:t>
      </w:r>
      <w:r>
        <w:rPr>
          <w:b/>
        </w:rPr>
        <w:t>per share</w:t>
      </w:r>
      <w:r>
        <w:t xml:space="preserve">, and </w:t>
      </w:r>
      <w:r>
        <w:rPr>
          <w:rFonts w:ascii="Consolas" w:hAnsi="Consolas"/>
          <w:color w:val="B03060"/>
        </w:rPr>
        <w:t>es_per_unit</w:t>
      </w:r>
    </w:p>
    <w:p>
      <w:r>
        <w:t xml:space="preserve">(expected shortfall). Position sizing is then simply </w:t>
      </w:r>
      <w:r>
        <w:rPr>
          <w:rFonts w:ascii="Consolas" w:hAnsi="Consolas"/>
          <w:color w:val="B03060"/>
        </w:rPr>
        <w:t>shares = floor(budget / var_per_unit)</w:t>
      </w:r>
    </w:p>
    <w:p>
      <w:pPr>
        <w:pStyle w:val="ListBullet"/>
      </w:pPr>
      <w:r>
        <w:t>every position risks the same rupees; a volatile stock gets fewer shares.</w:t>
      </w:r>
    </w:p>
    <w:p>
      <w:r>
        <w:rPr>
          <w:b/>
        </w:rPr>
        <w:t>Engine results:</w:t>
      </w:r>
      <w:r>
        <w:t xml:space="preserve"> 105,717 daily snapshots across 20 stocks; 92,108 </w:t>
      </w:r>
      <w:r>
        <w:rPr>
          <w:b/>
        </w:rPr>
        <w:t>tradable</w:t>
      </w:r>
      <w:r>
        <w:t xml:space="preserve"> (87%</w:t>
      </w:r>
    </w:p>
    <w:p>
      <w:r>
        <w:t>coverage - the rest are early windows without a stable tail or non-converged fits, correctly</w:t>
      </w:r>
    </w:p>
    <w:p>
      <w:r>
        <w:t xml:space="preserve">excluded rather than guessed). Median 99% / 12-day VaR = </w:t>
      </w:r>
      <w:r>
        <w:rPr>
          <w:b/>
        </w:rPr>
        <w:t>21.1% of price</w:t>
      </w:r>
      <w:r>
        <w:t>, median ES =</w:t>
      </w:r>
    </w:p>
    <w:p>
      <w:r>
        <w:rPr>
          <w:b/>
        </w:rPr>
        <w:t>27.8%</w:t>
      </w:r>
      <w:r>
        <w:t xml:space="preserve">, median tail shape xi = </w:t>
      </w:r>
      <w:r>
        <w:rPr>
          <w:b/>
        </w:rPr>
        <w:t>+0.13</w:t>
      </w:r>
      <w:r>
        <w:t xml:space="preserve"> (genuinely fat-tailed, as expected for Indian</w:t>
      </w:r>
    </w:p>
    <w:p>
      <w:r>
        <w:t>single stocks).</w:t>
      </w:r>
    </w:p>
    <w:p>
      <w:pPr>
        <w:pStyle w:val="Heading2"/>
      </w:pPr>
      <w:r>
        <w:t>The book (p9)</w:t>
      </w:r>
    </w:p>
    <w:p>
      <w:r>
        <w:t>A single daily, calendar-synchronized loop reusing the Phase-2 cost model</w:t>
      </w:r>
    </w:p>
    <w:p>
      <w:r>
        <w:t>(</w:t>
      </w:r>
      <w:r>
        <w:rPr>
          <w:rFonts w:ascii="Consolas" w:hAnsi="Consolas"/>
          <w:color w:val="B03060"/>
        </w:rPr>
        <w:t>delivery_roundtrip_cost</w:t>
      </w:r>
      <w:r>
        <w:t>) and exit semantics (next-open fills, trailing ATR stop,</w:t>
      </w:r>
    </w:p>
    <w:p>
      <w:r>
        <w:t>trend / max-hold exit):</w:t>
      </w:r>
    </w:p>
    <w:p>
      <w:pPr>
        <w:pStyle w:val="ListNumber"/>
      </w:pPr>
      <w:r>
        <w:rPr>
          <w:b/>
        </w:rPr>
        <w:t>Risk-parity sleeve weighting</w:t>
      </w:r>
      <w:r>
        <w:t xml:space="preserve"> replaces Phase 2's hand-tuned 50/50. Each sleeve's</w:t>
      </w:r>
    </w:p>
    <w:p>
      <w:r>
        <w:t xml:space="preserve">   standalone realized volatility is measured walk-forward; weight is inverse-vol. Mean</w:t>
      </w:r>
    </w:p>
    <w:p>
      <w:r>
        <w:t xml:space="preserve">   weights came out </w:t>
      </w:r>
      <w:r>
        <w:rPr>
          <w:b/>
        </w:rPr>
        <w:t>ts_mom 0.42 / tom 0.58</w:t>
      </w:r>
      <w:r>
        <w:t xml:space="preserve"> - the lower-volatility </w:t>
      </w:r>
      <w:r>
        <w:rPr>
          <w:rFonts w:ascii="Consolas" w:hAnsi="Consolas"/>
          <w:color w:val="B03060"/>
        </w:rPr>
        <w:t>tom</w:t>
      </w:r>
      <w:r>
        <w:t xml:space="preserve"> sleeve drew the</w:t>
      </w:r>
    </w:p>
    <w:p>
      <w:r>
        <w:t xml:space="preserve">   larger risk weight.</w:t>
      </w:r>
    </w:p>
    <w:p>
      <w:pPr>
        <w:pStyle w:val="ListNumber"/>
      </w:pPr>
      <w:r>
        <w:rPr>
          <w:b/>
        </w:rPr>
        <w:t>Portfolio cap</w:t>
      </w:r>
      <w:r>
        <w:t xml:space="preserve"> - total 99% risk budget Rs.80,000, max 8 concurrent names, &lt;=20% of</w:t>
      </w:r>
    </w:p>
    <w:p>
      <w:r>
        <w:t xml:space="preserve">   equity per name, no leverage. The risk budget binds first: in normal operation it skips</w:t>
      </w:r>
    </w:p>
    <w:p>
      <w:r>
        <w:t xml:space="preserve">   9,135 candidate entries (capping effective concurrency near 5-6, below the count limit).</w:t>
      </w:r>
    </w:p>
    <w:p>
      <w:pPr>
        <w:pStyle w:val="ListNumber"/>
      </w:pPr>
      <w:r>
        <w:rPr>
          <w:b/>
        </w:rPr>
        <w:t>Rolling-drawdown kill switch</w:t>
      </w:r>
      <w:r>
        <w:t xml:space="preserve"> - flatten all + halt for 21 days when drawdown from peak</w:t>
      </w:r>
    </w:p>
    <w:p>
      <w:r>
        <w:t xml:space="preserve">   breaches 20%.</w:t>
      </w:r>
    </w:p>
    <w:p>
      <w:pPr>
        <w:pStyle w:val="Heading2"/>
      </w:pPr>
      <w:r>
        <w:t>Gates - all passed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Gate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Checks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G3.1</w:t>
            </w:r>
          </w:p>
        </w:tc>
        <w:tc>
          <w:tcPr>
            <w:tcW w:type="dxa" w:w="2880"/>
          </w:tcPr>
          <w:p>
            <w:r>
              <w:t xml:space="preserve">sizing invariant </w:t>
            </w:r>
            <w:r>
              <w:rPr>
                <w:rFonts w:ascii="Consolas" w:hAnsi="Consolas"/>
                <w:color w:val="B03060"/>
              </w:rPr>
              <w:t>shares*var_per_unit &lt;= budget</w:t>
            </w:r>
            <w:r>
              <w:t xml:space="preserve"> on every snapshot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</w:t>
            </w:r>
            <w:r>
              <w:t xml:space="preserve"> (max used = Rs.15,000, exactly the budget; 92,108/92,108)</w:t>
            </w:r>
          </w:p>
        </w:tc>
      </w:tr>
      <w:tr>
        <w:tc>
          <w:tcPr>
            <w:tcW w:type="dxa" w:w="2880"/>
          </w:tcPr>
          <w:p>
            <w:r>
              <w:t>G3.2</w:t>
            </w:r>
          </w:p>
        </w:tc>
        <w:tc>
          <w:tcPr>
            <w:tcW w:type="dxa" w:w="2880"/>
          </w:tcPr>
          <w:p>
            <w:r>
              <w:t>EVT coherence: ES&gt;=VaR&gt;0, GARCH converged, &gt;=80 exceedances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</w:t>
            </w:r>
            <w:r>
              <w:t xml:space="preserve"> (min n_u=81, xi_med +0.13, 87% coverage)</w:t>
            </w:r>
          </w:p>
        </w:tc>
      </w:tr>
      <w:tr>
        <w:tc>
          <w:tcPr>
            <w:tcW w:type="dxa" w:w="2880"/>
          </w:tcPr>
          <w:p>
            <w:r>
              <w:t>G3.3</w:t>
            </w:r>
          </w:p>
        </w:tc>
        <w:tc>
          <w:tcPr>
            <w:tcW w:type="dxa" w:w="2880"/>
          </w:tcPr>
          <w:p>
            <w:r>
              <w:t>walk-forward causality: as-of recompute on truncated data reproduces panel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</w:t>
            </w:r>
            <w:r>
              <w:t xml:space="preserve"> (40 probes, 0 mismatches, worst diff 0.0)</w:t>
            </w:r>
          </w:p>
        </w:tc>
      </w:tr>
      <w:tr>
        <w:tc>
          <w:tcPr>
            <w:tcW w:type="dxa" w:w="2880"/>
          </w:tcPr>
          <w:p>
            <w:r>
              <w:t>G3.4a</w:t>
            </w:r>
          </w:p>
        </w:tc>
        <w:tc>
          <w:tcPr>
            <w:tcW w:type="dxa" w:w="2880"/>
          </w:tcPr>
          <w:p>
            <w:r>
              <w:t>kill switch flattens + halts under injected crash, 0 fills during halt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</w:t>
            </w:r>
            <w:r>
              <w:t xml:space="preserve"> (8 positions flattened, 0 halt-window fills)</w:t>
            </w:r>
          </w:p>
        </w:tc>
      </w:tr>
      <w:tr>
        <w:tc>
          <w:tcPr>
            <w:tcW w:type="dxa" w:w="2880"/>
          </w:tcPr>
          <w:p>
            <w:r>
              <w:t>G3.4b</w:t>
            </w:r>
          </w:p>
        </w:tc>
        <w:tc>
          <w:tcPr>
            <w:tcW w:type="dxa" w:w="2880"/>
          </w:tcPr>
          <w:p>
            <w:r>
              <w:t>portfolio cap binds under a tight cap (entries skipped, concurrent&lt;=cap)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</w:t>
            </w:r>
            <w:r>
              <w:t xml:space="preserve"> (31,733 skips, max concurrent 2 = cap)</w:t>
            </w:r>
          </w:p>
        </w:tc>
      </w:tr>
      <w:tr>
        <w:tc>
          <w:tcPr>
            <w:tcW w:type="dxa" w:w="2880"/>
          </w:tcPr>
          <w:p>
            <w:r>
              <w:t>G3.5</w:t>
            </w:r>
          </w:p>
        </w:tc>
        <w:tc>
          <w:tcPr>
            <w:tcW w:type="dxa" w:w="2880"/>
          </w:tcPr>
          <w:p>
            <w:r>
              <w:t>reproducibility: fixed seed -&gt; byte-identical equity 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</w:t>
            </w:r>
            <w:r>
              <w:t xml:space="preserve"> (identical SHA-256)</w:t>
            </w:r>
          </w:p>
        </w:tc>
      </w:tr>
      <w:tr>
        <w:tc>
          <w:tcPr>
            <w:tcW w:type="dxa" w:w="2880"/>
          </w:tcPr>
          <w:p>
            <w:r>
              <w:t>G3.6</w:t>
            </w:r>
          </w:p>
        </w:tc>
        <w:tc>
          <w:tcPr>
            <w:tcW w:type="dxa" w:w="2880"/>
          </w:tcPr>
          <w:p>
            <w:r>
              <w:t>does risk-weighting improve Sharpe AND drawdown vs ts_mom-alone?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PASS</w:t>
            </w:r>
            <w:r>
              <w:t xml:space="preserve"> (honest verdict recorded - see below)</w:t>
            </w:r>
          </w:p>
        </w:tc>
      </w:tr>
    </w:tbl>
    <w:p/>
    <w:p>
      <w:pPr>
        <w:pStyle w:val="Heading2"/>
      </w:pPr>
      <w:r>
        <w:t>The honest headline (OOS, 2017-2026)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Book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CAGR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Ann. Sharpe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Max drawdown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 return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Risk-parity combo</w:t>
            </w:r>
            <w:r>
              <w:t xml:space="preserve"> (ts_mom + tom)</w:t>
            </w:r>
          </w:p>
        </w:tc>
        <w:tc>
          <w:tcPr>
            <w:tcW w:type="dxa" w:w="1728"/>
          </w:tcPr>
          <w:p>
            <w:r>
              <w:t>2.2%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0.70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-5.0%</w:t>
            </w:r>
          </w:p>
        </w:tc>
        <w:tc>
          <w:tcPr>
            <w:tcW w:type="dxa" w:w="1728"/>
          </w:tcPr>
          <w:p>
            <w:r>
              <w:t>+21.8%</w:t>
            </w:r>
          </w:p>
        </w:tc>
      </w:tr>
      <w:tr>
        <w:tc>
          <w:tcPr>
            <w:tcW w:type="dxa" w:w="1728"/>
          </w:tcPr>
          <w:p>
            <w:r>
              <w:t>ts_mom alone</w:t>
            </w:r>
          </w:p>
        </w:tc>
        <w:tc>
          <w:tcPr>
            <w:tcW w:type="dxa" w:w="1728"/>
          </w:tcPr>
          <w:p>
            <w:r>
              <w:t>1.7%</w:t>
            </w:r>
          </w:p>
        </w:tc>
        <w:tc>
          <w:tcPr>
            <w:tcW w:type="dxa" w:w="1728"/>
          </w:tcPr>
          <w:p>
            <w:r>
              <w:t>0.49</w:t>
            </w:r>
          </w:p>
        </w:tc>
        <w:tc>
          <w:tcPr>
            <w:tcW w:type="dxa" w:w="1728"/>
          </w:tcPr>
          <w:p>
            <w:r>
              <w:t>-7.3%</w:t>
            </w:r>
          </w:p>
        </w:tc>
        <w:tc>
          <w:tcPr>
            <w:tcW w:type="dxa" w:w="1728"/>
          </w:tcPr>
          <w:p>
            <w:r>
              <w:t>+16.7%</w:t>
            </w:r>
          </w:p>
        </w:tc>
      </w:tr>
      <w:tr>
        <w:tc>
          <w:tcPr>
            <w:tcW w:type="dxa" w:w="1728"/>
          </w:tcPr>
          <w:p>
            <w:r>
              <w:t>Buy &amp; hold (equal-weight)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15.5%</w:t>
            </w:r>
          </w:p>
        </w:tc>
        <w:tc>
          <w:tcPr>
            <w:tcW w:type="dxa" w:w="1728"/>
          </w:tcPr>
          <w:p>
            <w:r>
              <w:t>0.83</w:t>
            </w:r>
          </w:p>
        </w:tc>
        <w:tc>
          <w:tcPr>
            <w:tcW w:type="dxa" w:w="1728"/>
          </w:tcPr>
          <w:p>
            <w:r>
              <w:t>-42.4%</w:t>
            </w:r>
          </w:p>
        </w:tc>
        <w:tc>
          <w:tcPr>
            <w:tcW w:type="dxa" w:w="1728"/>
          </w:tcPr>
          <w:p>
            <w:r>
              <w:t>+273.7%</w:t>
            </w:r>
          </w:p>
        </w:tc>
      </w:tr>
    </w:tbl>
    <w:p/>
    <w:p>
      <w:r>
        <w:t>Two findings, stated plainly:</w:t>
      </w:r>
    </w:p>
    <w:p>
      <w:pPr>
        <w:pStyle w:val="ListNumber"/>
      </w:pPr>
      <w:r>
        <w:rPr>
          <w:b/>
        </w:rPr>
        <w:t>Risk-weighting works as designed.</w:t>
      </w:r>
      <w:r>
        <w:t xml:space="preserve"> The risk-parity 2-sleeve book improves </w:t>
      </w:r>
      <w:r>
        <w:rPr>
          <w:b/>
        </w:rPr>
        <w:t>both</w:t>
      </w:r>
    </w:p>
    <w:p>
      <w:r>
        <w:t xml:space="preserve">   Sharpe (0.70 vs 0.49) </w:t>
      </w:r>
      <w:r>
        <w:rPr>
          <w:b/>
        </w:rPr>
        <w:t>and</w:t>
      </w:r>
      <w:r>
        <w:t xml:space="preserve"> drawdown (-5.0% vs -7.3%) over </w:t>
      </w:r>
      <w:r>
        <w:rPr>
          <w:rFonts w:ascii="Consolas" w:hAnsi="Consolas"/>
          <w:color w:val="B03060"/>
        </w:rPr>
        <w:t>ts_mom</w:t>
      </w:r>
      <w:r>
        <w:t xml:space="preserve"> alone. Under a</w:t>
      </w:r>
    </w:p>
    <w:p>
      <w:r>
        <w:t xml:space="preserve">   principled risk rule, the marginal </w:t>
      </w:r>
      <w:r>
        <w:rPr>
          <w:rFonts w:ascii="Consolas" w:hAnsi="Consolas"/>
          <w:color w:val="B03060"/>
        </w:rPr>
        <w:t>tom</w:t>
      </w:r>
      <w:r>
        <w:t xml:space="preserve"> sleeve </w:t>
      </w:r>
      <w:r>
        <w:rPr>
          <w:b/>
        </w:rPr>
        <w:t>earns its place</w:t>
      </w:r>
      <w:r>
        <w:t xml:space="preserve"> as an uncorrelated</w:t>
      </w:r>
    </w:p>
    <w:p>
      <w:r>
        <w:t xml:space="preserve">   diversifier - the thing Phase 2's naive 50/50 could not deliver.</w:t>
      </w:r>
    </w:p>
    <w:p>
      <w:pPr>
        <w:pStyle w:val="ListNumber"/>
      </w:pPr>
      <w:r>
        <w:rPr>
          <w:b/>
        </w:rPr>
        <w:t>The book does not beat buy &amp; hold on return in this sample.</w:t>
      </w:r>
      <w:r>
        <w:t xml:space="preserve"> It makes far less (2.2%</w:t>
      </w:r>
    </w:p>
    <w:p>
      <w:r>
        <w:t xml:space="preserve">   vs 15.5% CAGR) with a far smaller drawdown (-5% vs -42%). The cause is structural: the</w:t>
      </w:r>
    </w:p>
    <w:p>
      <w:r>
        <w:t xml:space="preserve">   conservative risk budget leaves </w:t>
      </w:r>
      <w:r>
        <w:rPr>
          <w:b/>
        </w:rPr>
        <w:t>mean exposure at only ~15%</w:t>
      </w:r>
      <w:r>
        <w:t xml:space="preserve"> - the book is</w:t>
      </w:r>
    </w:p>
    <w:p>
      <w:r>
        <w:t xml:space="preserve">   capacity-constrained by design and barely participates in a strong bull market. Over the</w:t>
      </w:r>
    </w:p>
    <w:p>
      <w:r>
        <w:t xml:space="preserve">   full 30-year sample the trade-off is starker in buy&amp;hold's favour on return (22.4% CAGR)</w:t>
      </w:r>
    </w:p>
    <w:p>
      <w:r>
        <w:t xml:space="preserve">   but the book's max drawdown is </w:t>
      </w:r>
      <w:r>
        <w:rPr>
          <w:b/>
        </w:rPr>
        <w:t>-12.9% vs buy&amp;hold's -75.3%</w:t>
      </w:r>
      <w:r>
        <w:t>. The risk budget is a</w:t>
      </w:r>
    </w:p>
    <w:p>
      <w:r>
        <w:t xml:space="preserve">   </w:t>
      </w:r>
      <w:r>
        <w:rPr>
          <w:b/>
        </w:rPr>
        <w:t>dial</w:t>
      </w:r>
      <w:r>
        <w:t>, not a verdict: scaling it up moves exposure and return up together with</w:t>
      </w:r>
    </w:p>
    <w:p>
      <w:r>
        <w:t xml:space="preserve">   drawdown. This is exactly the "per-trade edge != total return" caveat carried from Phase 2,</w:t>
      </w:r>
    </w:p>
    <w:p>
      <w:r>
        <w:t xml:space="preserve">   now quantified.</w:t>
      </w:r>
    </w:p>
    <w:p>
      <w:pPr>
        <w:pStyle w:val="Heading2"/>
      </w:pPr>
      <w:r>
        <w:t>Carried caveats (stated, not buried)</w:t>
      </w:r>
    </w:p>
    <w:p>
      <w:pPr>
        <w:pStyle w:val="ListBullet"/>
      </w:pPr>
      <w:r>
        <w:rPr>
          <w:b/>
        </w:rPr>
        <w:t>Idle cash earns zero</w:t>
      </w:r>
      <w:r>
        <w:t xml:space="preserve"> in this simulation. With ~85% average cash and Indian risk-free</w:t>
      </w:r>
    </w:p>
    <w:p>
      <w:r>
        <w:t xml:space="preserve">  near 6-7%, crediting idle cash would add roughly +5% CAGR and dominates the reported</w:t>
      </w:r>
    </w:p>
    <w:p>
      <w:r>
        <w:t xml:space="preserve">  return - the book's *absolute* return here is understated; treat the numbers as the</w:t>
      </w:r>
    </w:p>
    <w:p>
      <w:r>
        <w:t xml:space="preserve">  </w:t>
      </w:r>
      <w:r>
        <w:rPr>
          <w:b/>
        </w:rPr>
        <w:t>risk-controlled equity sleeve</w:t>
      </w:r>
      <w:r>
        <w:t>, not a full cash-plus-strategy account.</w:t>
      </w:r>
    </w:p>
    <w:p>
      <w:pPr>
        <w:pStyle w:val="ListBullet"/>
      </w:pPr>
      <w:r>
        <w:rPr>
          <w:b/>
        </w:rPr>
        <w:t>Survivorship:</w:t>
      </w:r>
      <w:r>
        <w:t xml:space="preserve"> the universe is the *current* NIFTY 50; delisted names are absent (R4 in</w:t>
      </w:r>
    </w:p>
    <w:p>
      <w:r>
        <w:t xml:space="preserve">  Phase 2 mitigates, does not fix - needs paid point-in-time data).</w:t>
      </w:r>
    </w:p>
    <w:p>
      <w:pPr>
        <w:pStyle w:val="ListBullet"/>
      </w:pPr>
      <w:r>
        <w:rPr>
          <w:b/>
        </w:rPr>
        <w:t>Strong-ish sample:</w:t>
      </w:r>
      <w:r>
        <w:t xml:space="preserve"> 2017-2026 was largely a bull market (2018/2022 the down years);</w:t>
      </w:r>
    </w:p>
    <w:p>
      <w:r>
        <w:t xml:space="preserve">  a conservative long-only book is expected to lag passive holding in such a window.</w:t>
      </w:r>
    </w:p>
    <w:p>
      <w:pPr>
        <w:pStyle w:val="ListBullet"/>
      </w:pPr>
      <w:r>
        <w:rPr>
          <w:b/>
        </w:rPr>
        <w:t>`tom` is marginal:</w:t>
      </w:r>
      <w:r>
        <w:t xml:space="preserve"> it earned a large *risk* weight (low vol), but its *edge* remains</w:t>
      </w:r>
    </w:p>
    <w:p>
      <w:r>
        <w:t xml:space="preserve">  marginal; its contribution is diversification, not standalone alpha.</w:t>
      </w:r>
    </w:p>
    <w:p>
      <w:pPr>
        <w:pStyle w:val="ListBullet"/>
      </w:pPr>
      <w:r>
        <w:rPr>
          <w:b/>
        </w:rPr>
        <w:t>Kill switch is a backstop, not the first line.</w:t>
      </w:r>
      <w:r>
        <w:t xml:space="preserve"> The per-position ATR stops flatten the</w:t>
      </w:r>
    </w:p>
    <w:p>
      <w:r>
        <w:t xml:space="preserve">  book on a price crash before the portfolio kill switch sees the close (a full-crash</w:t>
      </w:r>
    </w:p>
    <w:p>
      <w:r>
        <w:t xml:space="preserve">  injection trips the stops, not the switch). The kill switch's real jobs are catching gaps</w:t>
      </w:r>
    </w:p>
    <w:p>
      <w:r>
        <w:t xml:space="preserve">  past the stops and </w:t>
      </w:r>
      <w:r>
        <w:rPr>
          <w:b/>
        </w:rPr>
        <w:t>halting re-entry</w:t>
      </w:r>
      <w:r>
        <w:t xml:space="preserve"> into a crashing market; G3.4a isolates and proves</w:t>
      </w:r>
    </w:p>
    <w:p>
      <w:r>
        <w:t xml:space="preserve">  its flatten+halt path with a mark-to-market shock.</w:t>
      </w:r>
    </w:p>
    <w:p>
      <w:pPr>
        <w:pStyle w:val="ListBullet"/>
      </w:pPr>
      <w:r>
        <w:rPr>
          <w:b/>
        </w:rPr>
        <w:t>Paper stage is regulation-light;</w:t>
      </w:r>
      <w:r>
        <w:t xml:space="preserve"> a live deployment later triggers SEBI's retail-algo</w:t>
      </w:r>
    </w:p>
    <w:p>
      <w:r>
        <w:t xml:space="preserve">  framework (Algo-ID, static IP, broker onboarding, mandatory since 2026-04-01) - a Phase 4+</w:t>
      </w:r>
    </w:p>
    <w:p>
      <w:r>
        <w:t xml:space="preserve">  concern.</w:t>
      </w:r>
    </w:p>
    <w:p>
      <w:pPr>
        <w:pStyle w:val="Heading2"/>
      </w:pPr>
      <w:r>
        <w:t>Handoffs written</w:t>
      </w:r>
    </w:p>
    <w:p>
      <w:pPr>
        <w:pStyle w:val="ListBullet"/>
      </w:pPr>
      <w:r>
        <w:rPr>
          <w:rFonts w:ascii="Consolas" w:hAnsi="Consolas"/>
          <w:color w:val="B03060"/>
        </w:rPr>
        <w:t>data/swing_risk_panel.parquet</w:t>
      </w:r>
      <w:r>
        <w:t xml:space="preserve"> - 105,717 typed risk snapshots (var/es per unit, tradable</w:t>
      </w:r>
    </w:p>
    <w:p>
      <w:r>
        <w:t xml:space="preserve">  flag, xi, convergence), reloaded in a sizing-invariant smoke test.</w:t>
      </w:r>
    </w:p>
    <w:p>
      <w:pPr>
        <w:pStyle w:val="ListBullet"/>
      </w:pPr>
      <w:r>
        <w:rPr>
          <w:rFonts w:ascii="Consolas" w:hAnsi="Consolas"/>
          <w:color w:val="B03060"/>
        </w:rPr>
        <w:t>data/swing_equity.parquet</w:t>
      </w:r>
      <w:r>
        <w:t xml:space="preserve"> - daily equity paths (combo, ts_mom, tom, buy&amp;hold) with IS/OOS</w:t>
      </w:r>
    </w:p>
    <w:p>
      <w:r>
        <w:t xml:space="preserve">  labels, reloaded in a Sharpe-reproduction smoke test.</w:t>
      </w:r>
    </w:p>
    <w:p>
      <w:pPr>
        <w:pStyle w:val="ListBullet"/>
      </w:pPr>
      <w:r>
        <w:rPr>
          <w:rFonts w:ascii="Consolas" w:hAnsi="Consolas"/>
          <w:color w:val="B03060"/>
        </w:rPr>
        <w:t>artifacts/p3_risk.json</w:t>
      </w:r>
      <w:r>
        <w:t xml:space="preserve">, </w:t>
      </w:r>
      <w:r>
        <w:rPr>
          <w:rFonts w:ascii="Consolas" w:hAnsi="Consolas"/>
          <w:color w:val="B03060"/>
        </w:rPr>
        <w:t>artifacts/p3_portfolio.json</w:t>
      </w:r>
      <w:r>
        <w:t xml:space="preserve"> - full gate reports + metrics.</w:t>
      </w:r>
    </w:p>
    <w:p>
      <w:pPr>
        <w:pStyle w:val="Heading2"/>
      </w:pPr>
      <w:r>
        <w:t>Verdict</w:t>
      </w:r>
    </w:p>
    <w:p>
      <w:r>
        <w:t>The risk layer is built and validated end-to-end. Risk-parity is the right combination rule</w:t>
      </w:r>
    </w:p>
    <w:p>
      <w:r>
        <w:t>(it dominates ts_mom-alone on Sharpe and drawdown). The book's defining property is</w:t>
      </w:r>
    </w:p>
    <w:p>
      <w:r>
        <w:rPr>
          <w:b/>
        </w:rPr>
        <w:t>drawdown control, not return</w:t>
      </w:r>
      <w:r>
        <w:t xml:space="preserve"> at the current budget; the return gap to buy &amp; hold is a</w:t>
      </w:r>
    </w:p>
    <w:p>
      <w:r>
        <w:t>sizing/exposure choice plus an unmodelled cash yield, both explicit and adjustable. Phase 4</w:t>
      </w:r>
    </w:p>
    <w:p>
      <w:r>
        <w:t>can proceed on a validated, reproducible risk engine.</w:t>
      </w:r>
    </w:p>
    <w:p>
      <w:r>
        <w:t>&lt;/content&gt;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