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Московский физико-технический институт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Текстовый документ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  <w:t>Выполнил</w:t>
        <w:br/>
        <w:t xml:space="preserve"> Неговоров Константин</w:t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Длогопрудный 2026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start="1" w:fmt="decimal"/>
          <w:formProt w:val="false"/>
          <w:textDirection w:val="lrTb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Style8"/>
            </w:rPr>
            <w:instrText xml:space="preserve"> TOC \f \o "1-9" \h</w:instrText>
          </w:r>
          <w:r>
            <w:rPr>
              <w:rStyle w:val="Style8"/>
            </w:rPr>
            <w:fldChar w:fldCharType="separate"/>
          </w:r>
          <w:hyperlink w:anchor="__RefHeading___Toc323_2846578979" w:tooltip="ВВЕДЕНИЕ">
            <w:r>
              <w:rPr>
                <w:rStyle w:val="Style8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41_2846578979" w:tooltip="Основные направления деятельности">
            <w:r>
              <w:rPr>
                <w:rStyle w:val="Style8"/>
              </w:rPr>
              <w:t>1 Основные направления деятельности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3_2846578979" w:tooltip="Экспериментальные исследования">
            <w:r>
              <w:rPr>
                <w:rStyle w:val="Style8"/>
              </w:rPr>
              <w:t>1.1 Экспериментальные исследования</w:t>
              <w:tab/>
              <w:t>4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45_2846578979" w:tooltip="Разработка и проведение экспериментов">
            <w:r>
              <w:rPr>
                <w:rStyle w:val="Style8"/>
              </w:rPr>
              <w:t>1.1.1 Разработка и проведение экспериментов</w:t>
              <w:tab/>
              <w:t>4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47_2846578979" w:tooltip="Сбор данных">
            <w:r>
              <w:rPr>
                <w:rStyle w:val="Style8"/>
              </w:rPr>
              <w:t>1.1.2 Сбор данных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49_2846578979" w:tooltip="Анализ данных">
            <w:r>
              <w:rPr>
                <w:rStyle w:val="Style8"/>
              </w:rPr>
              <w:t>1.2 Анализ данных</w:t>
              <w:tab/>
              <w:t>4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51_2846578979" w:tooltip="Обработка и интерпретация полученных данных">
            <w:r>
              <w:rPr>
                <w:rStyle w:val="Style8"/>
              </w:rPr>
              <w:t>1.2.1 Обработка и интерпретация полученных данных</w:t>
              <w:tab/>
              <w:t>5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53_2846578979" w:tooltip="Применение методов моделирования и симуляции">
            <w:r>
              <w:rPr>
                <w:rStyle w:val="Style8"/>
              </w:rPr>
              <w:t>1.2.2 Применение методов моделирования и симуляции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5_2846578979" w:tooltip="Разработка и тестирование прототипов">
            <w:r>
              <w:rPr>
                <w:rStyle w:val="Style8"/>
              </w:rPr>
              <w:t>1.3 Разработка и тестирование прототипов</w:t>
              <w:tab/>
              <w:t>5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57_2846578979" w:tooltip="Создание прототипов">
            <w:r>
              <w:rPr>
                <w:rStyle w:val="Style8"/>
              </w:rPr>
              <w:t>1.3.1 Создание прототипов</w:t>
              <w:tab/>
              <w:t>5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59_2846578979" w:tooltip="Тестирование прототипов">
            <w:r>
              <w:rPr>
                <w:rStyle w:val="Style8"/>
              </w:rPr>
              <w:t>1.3.2 Тестирование прототипов</w:t>
              <w:tab/>
              <w:t>5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1_2846578979" w:tooltip="Подготовка отчётов и презентаций">
            <w:r>
              <w:rPr>
                <w:rStyle w:val="Style8"/>
              </w:rPr>
              <w:t>1.3.3 Подготовка отчётов и презентаций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3_2846578979" w:tooltip="Оформление результатов исследований">
            <w:r>
              <w:rPr>
                <w:rStyle w:val="Style8"/>
              </w:rPr>
              <w:t>1.3.4 Оформление результатов исследований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5_2846578979" w:tooltip="Публикация результатов">
            <w:r>
              <w:rPr>
                <w:rStyle w:val="Style8"/>
              </w:rPr>
              <w:t>1.3.5 Публикация результатов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7_2846578979" w:tooltip="Сотрудничество">
            <w:r>
              <w:rPr>
                <w:rStyle w:val="Style8"/>
              </w:rPr>
              <w:t>1.4 Сотрудничество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69_2846578979" w:tooltip="Работа в команде">
            <w:r>
              <w:rPr>
                <w:rStyle w:val="Style8"/>
              </w:rPr>
              <w:t>1.4.1 Работа в команде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11_2846578979" w:tooltip="Ключевые компетенции специалиста">
            <w:r>
              <w:rPr>
                <w:rStyle w:val="Style8"/>
              </w:rPr>
              <w:t>2 Ключевые компетенции специалиста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3_2846578979" w:tooltip="Технические навыки">
            <w:r>
              <w:rPr>
                <w:rStyle w:val="Style8"/>
              </w:rPr>
              <w:t>2.1 Технические навыки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5_2846578979" w:tooltip="Личностные качества">
            <w:r>
              <w:rPr>
                <w:rStyle w:val="Style8"/>
              </w:rPr>
              <w:t>2.2 Личностные качества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7_2846578979" w:tooltip="Сферы применения">
            <w:r>
              <w:rPr>
                <w:rStyle w:val="Style8"/>
              </w:rPr>
              <w:t>2.3 Сферы применения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19_2846578979" w:tooltip="Роль в современном бизнес">
            <w:r>
              <w:rPr>
                <w:rStyle w:val="Style8"/>
              </w:rPr>
              <w:t>2.4 Роль в современном бизнес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21_2846578979" w:tooltip="Перспективы развития">
            <w:r>
              <w:rPr>
                <w:rStyle w:val="Style8"/>
              </w:rPr>
              <w:t>2.5 Перспективы развития</w:t>
              <w:tab/>
              <w:t>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23_2846578979" w:tooltip="Требования к образованию">
            <w:r>
              <w:rPr>
                <w:rStyle w:val="Style8"/>
              </w:rPr>
              <w:t>3 Требования к образованию</w:t>
              <w:tab/>
              <w:t>10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25_2846578979" w:tooltip="ЗАКЛЮЧЕНИЕ">
            <w:r>
              <w:rPr>
                <w:rStyle w:val="Style8"/>
              </w:rPr>
              <w:t>ЗАКЛЮЧЕНИЕ</w:t>
              <w:tab/>
              <w:t>11</w:t>
            </w:r>
          </w:hyperlink>
          <w:r>
            <w:rPr>
              <w:rStyle w:val="Style8"/>
            </w:rPr>
            <w:fldChar w:fldCharType="end"/>
          </w:r>
        </w:p>
      </w:sdtContent>
    </w:sdt>
    <w:p>
      <w:pPr>
        <w:pStyle w:val="BodyTextIndent"/>
        <w:widowControl/>
        <w:bidi w:val="0"/>
        <w:spacing w:lineRule="auto" w:line="360" w:before="0" w:after="140"/>
        <w:ind w:hanging="0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11"/>
        <w:bidi w:val="0"/>
        <w:rPr/>
      </w:pPr>
      <w:bookmarkStart w:id="0" w:name="__RefHeading___Toc323_2846578979"/>
      <w:bookmarkEnd w:id="0"/>
      <w:r>
        <w:rPr/>
        <w:t>ВВЕДЕНИЕ</w:t>
      </w:r>
    </w:p>
    <w:p>
      <w:pPr>
        <w:pStyle w:val="BodyText"/>
        <w:bidi w:val="0"/>
        <w:rPr/>
      </w:pPr>
      <w:r>
        <w:rPr/>
        <w:t>Инженер-исследователь — это специалист, работающий на стыке науки и практики. Он сочетает глубокие инженерные знания с навыками проведения исследований для создания инновационных решений и оптимизации существующих процессов.</w:t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Heading1"/>
        <w:bidi w:val="0"/>
        <w:ind w:firstLine="709" w:start="0"/>
        <w:rPr/>
      </w:pPr>
      <w:bookmarkStart w:id="1" w:name="__RefHeading___Toc41_2846578979"/>
      <w:bookmarkEnd w:id="1"/>
      <w:r>
        <w:rPr/>
        <w:t xml:space="preserve">Основные направления </w:t>
      </w:r>
      <w:r>
        <w:rPr>
          <w:b/>
          <w:bCs/>
        </w:rPr>
        <w:t>деятельности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/>
      </w:pPr>
      <w:r>
        <w:rPr/>
        <w:t>Инженер-исследователь осуществляет свою деятельность в нескольких ключевых направлениях, каждое из которых требует глубоких знаний и специализированных навыков.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ind w:firstLine="709" w:start="0"/>
        <w:rPr/>
      </w:pPr>
      <w:bookmarkStart w:id="2" w:name="__RefHeading___Toc43_2846578979"/>
      <w:bookmarkEnd w:id="2"/>
      <w:r>
        <w:rPr/>
        <w:t>Экспериментальные исследования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3" w:name="__RefHeading___Toc45_2846578979"/>
      <w:bookmarkEnd w:id="3"/>
      <w:r>
        <w:rPr/>
        <w:t>Разработка и проведение экспериментов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eastAsia="Times New Roman"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Без экспериментальной работы не обойтись при тестирование новых материалов, изучении поведения систем в различных условиях и оптимизации процессов.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4" w:name="__RefHeading___Toc47_2846578979"/>
      <w:bookmarkEnd w:id="4"/>
      <w:r>
        <w:rPr/>
        <w:t>Сбор данных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Сбор данные невозможно представить без использование лабораторного оборудования и технологий. Инженеры-исследователи работают с различными инструментами и устройствами, такими как спектрометры, микроскопы, датчики и т. д.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ind w:firstLine="709" w:start="0"/>
        <w:rPr/>
      </w:pPr>
      <w:bookmarkStart w:id="5" w:name="__RefHeading___Toc49_2846578979"/>
      <w:bookmarkEnd w:id="5"/>
      <w:r>
        <w:rPr/>
        <w:t>Анализ данных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6" w:name="__RefHeading___Toc51_2846578979"/>
      <w:bookmarkEnd w:id="6"/>
      <w:r>
        <w:rPr/>
        <w:t>Обработка и интерпретация полученных данных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Без анализа и интерпретации собранные данные будут просто занимать место на жёстком диске. Инженеры обрабатывают их, строят графики и делают выводы с использованием статистических методов и программного обеспечения (например, MATLAB, Python, R).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7" w:name="__RefHeading___Toc53_2846578979"/>
      <w:bookmarkEnd w:id="7"/>
      <w:r>
        <w:rPr/>
        <w:t>Применение методов моделирования и симуляции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Для анализа результатов и прогнозирования поведения систем инженеры применяют моделирование. Это позволяет инженерам-исследователям выявлять закономерности и тенденции, а также оптимизировать процессы.</w:t>
      </w:r>
    </w:p>
    <w:p>
      <w:pPr>
        <w:pStyle w:val="BodyText"/>
        <w:bidi w:val="0"/>
        <w:rPr/>
      </w:pPr>
      <w:r>
        <w:rPr/>
      </w:r>
    </w:p>
    <w:p>
      <w:pPr>
        <w:pStyle w:val="Heading2"/>
        <w:bidi w:val="0"/>
        <w:ind w:firstLine="709" w:start="0"/>
        <w:rPr/>
      </w:pPr>
      <w:bookmarkStart w:id="8" w:name="__RefHeading___Toc55_2846578979"/>
      <w:bookmarkEnd w:id="8"/>
      <w:r>
        <w:rPr/>
        <w:t>Разработка и тестирование прототипов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9" w:name="__RefHeading___Toc57_2846578979"/>
      <w:bookmarkEnd w:id="9"/>
      <w:r>
        <w:rPr/>
        <w:t>Создание прототипов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Самая важная задача инженера-исследователя - создавать новые продукты или технологии на основе результатов исследований. Это может быть как физическое моделирование, так и виртуальное прототипирование с использованием CAD-программ.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10" w:name="__RefHeading___Toc59_2846578979"/>
      <w:bookmarkEnd w:id="10"/>
      <w:r>
        <w:rPr/>
        <w:t>Тестирование прототипов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Перед тем, как стать полноценным продуктом, экспериментальные образцы необходимо испытать для оценки их эффективности и надёжности. Такая деятельность включает в себя проведение испытаний в контролируемых условиях и анализ полученных результатов.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11" w:name="__RefHeading___Toc61_2846578979"/>
      <w:bookmarkEnd w:id="11"/>
      <w:r>
        <w:rPr/>
        <w:t>Подготовка отчётов и презентаций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12" w:name="__RefHeading___Toc63_2846578979"/>
      <w:bookmarkEnd w:id="12"/>
      <w:r>
        <w:rPr/>
        <w:t>Оформление результатов исследований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Результаты оформляются и закрепляются в виде отчётов, статей и презентаций. Это требует навыков письменной и устной коммуникации, а также умения наглядно представлять данные.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13" w:name="__RefHeading___Toc65_2846578979"/>
      <w:bookmarkEnd w:id="13"/>
      <w:r>
        <w:rPr/>
        <w:t>Публикация результатов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Закреплённые в виде текста результаты нужно обязательно публиковать в научных журналах и представлять на конференциях для обмена знаниями с коллегами.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ind w:firstLine="709" w:start="0"/>
        <w:rPr/>
      </w:pPr>
      <w:bookmarkStart w:id="14" w:name="__RefHeading___Toc67_2846578979"/>
      <w:bookmarkEnd w:id="14"/>
      <w:r>
        <w:rPr/>
        <w:t>Сотрудничество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ind w:firstLine="709" w:start="0"/>
        <w:rPr/>
      </w:pPr>
      <w:bookmarkStart w:id="15" w:name="__RefHeading___Toc69_2846578979"/>
      <w:bookmarkEnd w:id="15"/>
      <w:r>
        <w:rPr/>
        <w:t>Работа в команде</w:t>
      </w:r>
    </w:p>
    <w:p>
      <w:pPr>
        <w:pStyle w:val="BodyTextIndent"/>
        <w:widowControl/>
        <w:bidi w:val="0"/>
        <w:spacing w:lineRule="auto" w:line="360" w:before="0" w:after="140"/>
        <w:ind w:firstLine="709" w:start="283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rPr>
          <w:rFonts w:eastAsia="Times New Roman" w:cs="Times New Roman"/>
        </w:rPr>
      </w:pPr>
      <w:r>
        <w:rPr/>
        <w:t>Современным инженерам необходимо взаимодействовать с другими специалистами (инженерами, учёными, дизайнерами) для решения комплексных задач. Это способствует интеграции различных областей знаний и разработке инновационных решений.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Участие в междисциплинарных проектах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Сегодня инженеров активно привлекают для разработки новых технологий и продуктов. Например, сотрудничество с биологами при создании медицинских устройств или с архитекторами при проектировании умных городов.</w:t>
      </w:r>
    </w:p>
    <w:p>
      <w:pPr>
        <w:pStyle w:val="BodyTextIndent"/>
        <w:bidi w:val="0"/>
        <w:jc w:val="star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Heading1"/>
        <w:bidi w:val="0"/>
        <w:ind w:firstLine="709" w:start="0"/>
        <w:rPr/>
      </w:pPr>
      <w:bookmarkStart w:id="16" w:name="__RefHeading___Toc111_2846578979"/>
      <w:bookmarkEnd w:id="16"/>
      <w:r>
        <w:rPr/>
        <w:t>Ключевые компетенции специалиста</w:t>
      </w:r>
    </w:p>
    <w:p>
      <w:pPr>
        <w:pStyle w:val="Heading2"/>
        <w:bidi w:val="0"/>
        <w:ind w:firstLine="709" w:start="0"/>
        <w:rPr/>
      </w:pPr>
      <w:bookmarkStart w:id="17" w:name="__RefHeading___Toc113_2846578979"/>
      <w:bookmarkEnd w:id="17"/>
      <w:r>
        <w:rPr/>
        <w:t>Технические навыки</w:t>
      </w:r>
    </w:p>
    <w:p>
      <w:pPr>
        <w:pStyle w:val="BodyText"/>
        <w:bidi w:val="0"/>
        <w:jc w:val="start"/>
        <w:rPr/>
      </w:pPr>
      <w:r>
        <w:rPr/>
        <w:br/>
        <w:t>- Глубокие знания в профильной области</w:t>
        <w:br/>
        <w:t>- Умение работать с современным оборудованием</w:t>
        <w:br/>
        <w:t>- Навыки программирования</w:t>
        <w:br/>
        <w:t>- Способность к математическому моделированию</w:t>
        <w:br/>
      </w:r>
    </w:p>
    <w:p>
      <w:pPr>
        <w:pStyle w:val="Heading2"/>
        <w:bidi w:val="0"/>
        <w:ind w:firstLine="709" w:start="0"/>
        <w:rPr/>
      </w:pPr>
      <w:bookmarkStart w:id="18" w:name="__RefHeading___Toc115_2846578979"/>
      <w:bookmarkEnd w:id="18"/>
      <w:r>
        <w:rPr/>
        <w:t>Личностные качества</w:t>
      </w:r>
    </w:p>
    <w:p>
      <w:pPr>
        <w:pStyle w:val="BodyText"/>
        <w:bidi w:val="0"/>
        <w:jc w:val="start"/>
        <w:rPr/>
      </w:pPr>
      <w:r>
        <w:rPr/>
        <w:br/>
        <w:t>- Аналитическое мышление</w:t>
        <w:br/>
        <w:t>- Способность к критическому анализу</w:t>
        <w:br/>
        <w:t>- Гибкость мышления</w:t>
        <w:br/>
        <w:t>- Коммуникабельность</w:t>
        <w:br/>
        <w:t>- Стремление к постоянному обучению</w:t>
      </w:r>
    </w:p>
    <w:p>
      <w:pPr>
        <w:pStyle w:val="BodyTextIndent"/>
        <w:bidi w:val="0"/>
        <w:jc w:val="start"/>
        <w:rPr/>
      </w:pPr>
      <w:r>
        <w:rPr/>
      </w:r>
    </w:p>
    <w:p>
      <w:pPr>
        <w:pStyle w:val="Heading2"/>
        <w:bidi w:val="0"/>
        <w:ind w:firstLine="709" w:start="0"/>
        <w:rPr/>
      </w:pPr>
      <w:r>
        <w:rPr/>
        <w:t>Профессионализм</w:t>
      </w:r>
    </w:p>
    <w:p>
      <w:pPr>
        <w:pStyle w:val="Style16"/>
        <w:bidi w:val="0"/>
        <w:rPr/>
      </w:pPr>
      <w:r>
        <w:rPr/>
        <w:t>Успешность и востребованность инженера-исследователя, как и специалиста в любой другой области, зависит не только от качества тренировки навыков. Профессионализм можно оценить следующей формулой:</w:t>
        <w:br/>
        <w:tab/>
        <w:t xml:space="preserve"> </w:t>
      </w:r>
      <w:r>
        <w:rPr/>
      </w:r>
      <m:oMath xmlns:m="http://schemas.openxmlformats.org/officeDocument/2006/math">
        <m:r>
          <m:t xml:space="preserve">P</m:t>
        </m:r>
        <m:r>
          <m:t xml:space="preserve">=</m:t>
        </m:r>
        <m:r>
          <m:t xml:space="preserve">S</m:t>
        </m:r>
        <m:r>
          <m:t xml:space="preserve">⋅</m:t>
        </m:r>
        <m:r>
          <m:t xml:space="preserve">A</m:t>
        </m:r>
      </m:oMath>
      <w:r>
        <w:rPr/>
        <w:tab/>
      </w:r>
      <w:r>
        <w:rPr/>
        <w:t>(1)</w:t>
      </w:r>
      <w:r>
        <w:rPr/>
        <w:br/>
        <w:t>где P (professionalism) — профессионализм , S (skills) — навыки, A (attitude) — отношение. Из формулы 1 следует, что мастер, работающий с равнодушием, и воодушевлённый новичок будут одинаково далеки от тех, с кем хочется иметь дело.</w:t>
        <w:br/>
        <w:br/>
        <w:t>Для того, чтобы приносить ощутимую пользу, стоит постоянно тренировать и поддерживать навыки, но не менее важно относиться к своему делу энергично, с душой и любовью.</w:t>
      </w:r>
    </w:p>
    <w:p>
      <w:pPr>
        <w:pStyle w:val="Heading2"/>
        <w:bidi w:val="0"/>
        <w:ind w:firstLine="709" w:start="0"/>
        <w:rPr/>
      </w:pPr>
      <w:bookmarkStart w:id="19" w:name="__RefHeading___Toc117_2846578979"/>
      <w:bookmarkEnd w:id="19"/>
      <w:r>
        <w:rPr/>
        <w:t>Сферы применения</w:t>
      </w:r>
    </w:p>
    <w:p>
      <w:pPr>
        <w:pStyle w:val="BodyText"/>
        <w:bidi w:val="0"/>
        <w:jc w:val="start"/>
        <w:rPr/>
      </w:pPr>
      <w:r>
        <w:rPr/>
        <w:t>Инженеры-исследователи востребованы в:</w:t>
        <w:br/>
        <w:t>- Машиностроении</w:t>
        <w:br/>
        <w:t>- Электронике</w:t>
        <w:br/>
        <w:t>- Энергетике</w:t>
        <w:br/>
        <w:t>- Биотехнологиях</w:t>
        <w:br/>
        <w:t>- IT-индустрии</w:t>
        <w:br/>
        <w:t>- Химической промышленности</w:t>
      </w:r>
    </w:p>
    <w:p>
      <w:pPr>
        <w:pStyle w:val="BodyTextIndent"/>
        <w:bidi w:val="0"/>
        <w:jc w:val="start"/>
        <w:rPr/>
      </w:pPr>
      <w:r>
        <w:rPr/>
      </w:r>
    </w:p>
    <w:p>
      <w:pPr>
        <w:pStyle w:val="Heading2"/>
        <w:bidi w:val="0"/>
        <w:ind w:firstLine="709" w:start="0"/>
        <w:rPr/>
      </w:pPr>
      <w:bookmarkStart w:id="20" w:name="__RefHeading___Toc119_2846578979"/>
      <w:bookmarkEnd w:id="20"/>
      <w:r>
        <w:rPr/>
        <w:t>Роль в современном бизнес</w:t>
      </w:r>
    </w:p>
    <w:p>
      <w:pPr>
        <w:pStyle w:val="BodyTextInden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Преимущества для компании:</w:t>
        <w:br/>
        <w:t>- Внедрение передовых технологий</w:t>
        <w:br/>
        <w:t>- Оптимизация производственных процессов</w:t>
        <w:br/>
        <w:t>- Разработка инновационных продуктов</w:t>
        <w:br/>
        <w:t>- Снижение затрат</w:t>
        <w:br/>
        <w:t>- Повышение конкурентоспособности</w:t>
      </w:r>
    </w:p>
    <w:p>
      <w:pPr>
        <w:pStyle w:val="BodyTextIndent"/>
        <w:bidi w:val="0"/>
        <w:jc w:val="start"/>
        <w:rPr/>
      </w:pPr>
      <w:r>
        <w:rPr/>
      </w:r>
    </w:p>
    <w:p>
      <w:pPr>
        <w:pStyle w:val="Heading2"/>
        <w:bidi w:val="0"/>
        <w:ind w:firstLine="709" w:start="0"/>
        <w:rPr/>
      </w:pPr>
      <w:bookmarkStart w:id="21" w:name="__RefHeading___Toc121_2846578979"/>
      <w:bookmarkEnd w:id="21"/>
      <w:r>
        <w:rPr/>
        <w:t>Перспективы развития</w:t>
      </w:r>
    </w:p>
    <w:p>
      <w:pPr>
        <w:pStyle w:val="BodyTextInden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Карьерный рост инженера-исследователя может включать:</w:t>
        <w:br/>
        <w:t>- Руководящие позиции в отделах исследований и разработок</w:t>
        <w:br/>
        <w:t>- Создание собственных исследовательских проектов</w:t>
        <w:br/>
        <w:t>- Переход в академическую сферу</w:t>
        <w:br/>
        <w:t>- Основание инновационных компаний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firstLine="709" w:start="0"/>
        <w:rPr/>
      </w:pPr>
      <w:bookmarkStart w:id="22" w:name="__RefHeading___Toc123_2846578979"/>
      <w:bookmarkEnd w:id="22"/>
      <w:r>
        <w:rPr/>
        <w:t>Требования к образован</w:t>
      </w:r>
      <w:r>
        <w:rPr/>
        <w:t>ию</w:t>
      </w:r>
    </w:p>
    <w:p>
      <w:pPr>
        <w:pStyle w:val="BodyTextInden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Для работы инженером-исследователем необходимо:</w:t>
        <w:br/>
        <w:t>- Высшее техническое образование</w:t>
        <w:br/>
        <w:t>- Магистратура или аспирантура</w:t>
        <w:br/>
        <w:t>- Практический опыт в выбранной области</w:t>
        <w:br/>
        <w:t>- Знание современных методов исследования</w:t>
        <w:br/>
        <w:t>- Владение специализированным программным обеспечением</w:t>
      </w:r>
    </w:p>
    <w:p>
      <w:pPr>
        <w:pStyle w:val="BodyText"/>
        <w:bidi w:val="0"/>
        <w:rPr/>
      </w:pPr>
      <w:r>
        <w:rPr/>
      </w:r>
    </w:p>
    <w:p>
      <w:pPr>
        <w:pStyle w:val="Heading1"/>
        <w:bidi w:val="0"/>
        <w:ind w:firstLine="709" w:start="0"/>
        <w:rPr/>
      </w:pPr>
      <w:r>
        <w:rPr/>
        <w:t>Пример из жизни</w:t>
      </w:r>
    </w:p>
    <w:p>
      <w:pPr>
        <w:pStyle w:val="Heading2"/>
        <w:bidi w:val="0"/>
        <w:ind w:firstLine="709" w:start="0"/>
        <w:rPr/>
      </w:pPr>
      <w:r>
        <w:rPr/>
        <w:t>Организации</w:t>
      </w:r>
    </w:p>
    <w:p>
      <w:pPr>
        <w:pStyle w:val="BodyText"/>
        <w:bidi w:val="0"/>
        <w:rPr/>
      </w:pPr>
      <w:r>
        <w:rPr/>
        <w:t>Подготовиться к профессии инженера исследователя можно в ведущих технических университетах страны, например в МФТИ. Лабораторный корпус Физтеха представлен на рисунке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4656455" cy="2619375"/>
            <wp:effectExtent l="0" t="0" r="0" b="0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</w:t>
      </w:r>
      <w:r>
        <w:rPr>
          <w:rFonts w:cs="Arial"/>
          <w:iCs/>
          <w:szCs w:val="24"/>
        </w:rPr>
        <w:t>Лабораторный корпус МФТИ, Физтех</w:t>
      </w:r>
    </w:p>
    <w:p>
      <w:pPr>
        <w:pStyle w:val="Style15"/>
        <w:bidi w:val="0"/>
        <w:rPr/>
      </w:pPr>
      <w:r>
        <w:rPr/>
      </w:r>
    </w:p>
    <w:p>
      <w:pPr>
        <w:pStyle w:val="Heading2"/>
        <w:bidi w:val="0"/>
        <w:ind w:firstLine="709" w:start="0"/>
        <w:rPr/>
      </w:pPr>
      <w:r>
        <w:rPr/>
        <w:t>Люди</w:t>
      </w:r>
    </w:p>
    <w:p>
      <w:pPr>
        <w:pStyle w:val="BodyText"/>
        <w:bidi w:val="0"/>
        <w:rPr/>
      </w:pPr>
      <w:r>
        <w:rPr/>
        <w:t xml:space="preserve">На рисунке </w:t>
      </w:r>
      <w:r>
        <w:rPr/>
        <w:fldChar w:fldCharType="begin"/>
      </w:r>
      <w:r>
        <w:rPr/>
        <w:instrText xml:space="preserve"> REF Ref_Рисунок1_number_only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изображён молодой человек, который в ближайшие полгода будет осваивать инструменты и понятия, которыми каждый день пользуется и оперирует профессиональный инженер-исследователь. Ничему невозможно научиться быстро, на всё нужно время, для всего нужны постоянные тренировки, которые лучше начинать как можно раньше. Именно поэтому мы предлагаем познакомиться с текстовыми процессорами с самого начала, в сентябре самого первого курса</w:t>
      </w:r>
    </w:p>
    <w:p>
      <w:pPr>
        <w:pStyle w:val="BodyText"/>
        <w:bidi w:val="0"/>
        <w:rPr/>
      </w:pPr>
      <w:r>
        <w:rPr/>
        <w:t>.</w:t>
      </w:r>
      <w:r>
        <w:rPr/>
        <w:drawing>
          <wp:inline distT="0" distB="0" distL="0" distR="0">
            <wp:extent cx="4889500" cy="4889500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488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rPr/>
      </w:pPr>
      <w:r>
        <w:rPr/>
        <w:t xml:space="preserve">Рисунок </w:t>
      </w:r>
      <w:bookmarkStart w:id="23" w:name="Ref_Рисунок1_number_only"/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23"/>
      <w:r>
        <w:rPr/>
        <w:t xml:space="preserve"> </w:t>
      </w:r>
      <w:r>
        <w:rPr/>
        <w:t xml:space="preserve">— </w:t>
      </w:r>
      <w:r>
        <w:rPr/>
        <w:t>Михаил Слуцкий</w:t>
      </w:r>
      <w:r>
        <w:rPr/>
        <w:t>,выпускник школы №</w:t>
      </w:r>
      <w:r>
        <w:rPr>
          <w:lang w:val="en-US"/>
        </w:rPr>
        <w:t> </w:t>
      </w:r>
      <w:r>
        <w:rPr>
          <w:lang w:val="en-US"/>
        </w:rPr>
        <w:t>292</w:t>
      </w:r>
      <w:r>
        <w:rPr>
          <w:lang w:val="en-US"/>
        </w:rPr>
        <w:t xml:space="preserve"> </w:t>
      </w:r>
      <w:r>
        <w:rPr/>
        <w:t>и студент первого курса МФТИ, Физтех</w:t>
      </w:r>
    </w:p>
    <w:p>
      <w:pPr>
        <w:pStyle w:val="11"/>
        <w:bidi w:val="0"/>
        <w:jc w:val="center"/>
        <w:rPr/>
      </w:pPr>
      <w:bookmarkStart w:id="24" w:name="__RefHeading___Toc125_2846578979"/>
      <w:bookmarkEnd w:id="24"/>
      <w:r>
        <w:rPr/>
        <w:t>ЗАКЛЮЧЕНИЕ</w:t>
      </w:r>
    </w:p>
    <w:p>
      <w:pPr>
        <w:pStyle w:val="BodyTextIndent"/>
        <w:bidi w:val="0"/>
        <w:jc w:val="start"/>
        <w:rPr/>
      </w:pPr>
      <w:r>
        <w:rPr/>
        <w:t>В современных условиях профессия инженера-исследователя становится все более востребованной, так как компании нуждаются в специалистах, способных создавать инновационные решения и поддерживать технологический прогресс.</w:t>
      </w:r>
    </w:p>
    <w:p>
      <w:pPr>
        <w:pStyle w:val="BodyTextIndent"/>
        <w:bidi w:val="0"/>
        <w:jc w:val="end"/>
        <w:rPr>
          <w:b/>
          <w:bCs/>
        </w:rPr>
      </w:pPr>
      <w:r>
        <w:rPr>
          <w:b/>
          <w:bCs/>
        </w:rPr>
        <w:t>Очень важная таблица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keepNext w:val="true"/>
              <w:widowControl w:val="false"/>
              <w:suppressLineNumbers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rPr/>
            </w:pPr>
            <w:r>
              <w:rPr/>
            </w:r>
          </w:p>
        </w:tc>
      </w:tr>
    </w:tbl>
    <w:p>
      <w:pPr>
        <w:pStyle w:val="BodyTextIndent"/>
        <w:bidi w:val="0"/>
        <w:spacing w:before="0" w:after="140"/>
        <w:jc w:val="start"/>
        <w:rPr/>
      </w:pPr>
      <w:r>
        <w:rPr/>
        <w:t xml:space="preserve">Таблица </w:t>
      </w:r>
      <w:r>
        <w:rPr>
          <w:lang w:val="ru-RU"/>
        </w:rPr>
        <w:t xml:space="preserve">№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4294955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pStyle w:val="Heading2"/>
      <w:suff w:val="space"/>
      <w:lvlText w:val="%1.%2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pStyle w:val="Heading3"/>
      <w:suff w:val="space"/>
      <w:lvlText w:val="%1.%2.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0"/>
  <w:embedTrueTypeFonts/>
  <w:defaultTabStop w:val="1134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Arial" w:cs="Arial"/>
      <w:color w:val="auto"/>
      <w:kern w:val="0"/>
      <w:sz w:val="28"/>
      <w:szCs w:val="22"/>
      <w:lang w:val="ru-RU" w:eastAsia="zh-CN" w:bidi="hi-IN"/>
    </w:rPr>
  </w:style>
  <w:style w:type="paragraph" w:styleId="Heading1">
    <w:name w:val="heading 1"/>
    <w:basedOn w:val="normal1"/>
    <w:next w:val="normal1"/>
    <w:pPr>
      <w:keepNext w:val="true"/>
      <w:keepLines w:val="false"/>
      <w:pageBreakBefore/>
      <w:numPr>
        <w:ilvl w:val="0"/>
        <w:numId w:val="1"/>
      </w:numPr>
      <w:spacing w:lineRule="auto" w:line="240" w:before="400" w:after="120"/>
      <w:outlineLvl w:val="0"/>
    </w:pPr>
    <w:rPr>
      <w:sz w:val="28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numPr>
        <w:ilvl w:val="1"/>
        <w:numId w:val="1"/>
      </w:numPr>
      <w:spacing w:lineRule="auto" w:line="240" w:before="360" w:after="120"/>
      <w:outlineLvl w:val="1"/>
    </w:pPr>
    <w:rPr>
      <w:b/>
      <w:bCs w:val="false"/>
      <w:sz w:val="28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numPr>
        <w:ilvl w:val="2"/>
        <w:numId w:val="1"/>
      </w:numPr>
      <w:spacing w:lineRule="auto" w:line="240" w:before="320" w:after="80"/>
      <w:outlineLvl w:val="2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Ссылка указателя"/>
    <w:rPr/>
  </w:style>
  <w:style w:type="paragraph" w:styleId="Style9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Arial" w:cs="Arial"/>
      <w:b/>
      <w:color w:val="000000"/>
      <w:kern w:val="0"/>
      <w:sz w:val="28"/>
      <w:szCs w:val="22"/>
      <w:lang w:val="ru-RU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1">
    <w:name w:val="Колонтитулы"/>
    <w:basedOn w:val="Normal"/>
    <w:pPr/>
    <w:rPr/>
  </w:style>
  <w:style w:type="paragraph" w:styleId="Footer">
    <w:name w:val="footer"/>
    <w:basedOn w:val="Style11"/>
    <w:pPr/>
    <w:rPr/>
  </w:style>
  <w:style w:type="paragraph" w:styleId="BodyTextIndent">
    <w:name w:val="Body Text Indent"/>
    <w:basedOn w:val="BodyText"/>
    <w:pPr>
      <w:ind w:hanging="0" w:start="283"/>
    </w:pPr>
    <w:rPr/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Style12">
    <w:name w:val="Обратный отступ"/>
    <w:basedOn w:val="BodyText"/>
    <w:pPr>
      <w:tabs>
        <w:tab w:val="clear" w:pos="720"/>
        <w:tab w:val="left" w:pos="0" w:leader="none"/>
      </w:tabs>
      <w:ind w:hanging="283" w:start="567"/>
    </w:pPr>
    <w:rPr/>
  </w:style>
  <w:style w:type="paragraph" w:styleId="IndexHeading">
    <w:name w:val="index heading"/>
    <w:basedOn w:val="Style9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pPr>
      <w:suppressLineNumbers/>
      <w:ind w:hanging="0" w:start="0"/>
      <w:jc w:val="center"/>
    </w:pPr>
    <w:rPr>
      <w:b/>
      <w:bCs/>
      <w:caps/>
      <w:sz w:val="32"/>
      <w:szCs w:val="32"/>
    </w:rPr>
  </w:style>
  <w:style w:type="paragraph" w:styleId="TOC1">
    <w:name w:val="toc 1"/>
    <w:basedOn w:val="Style10"/>
    <w:pPr>
      <w:tabs>
        <w:tab w:val="clear" w:pos="720"/>
        <w:tab w:val="right" w:pos="9026" w:leader="dot"/>
      </w:tabs>
      <w:ind w:hanging="0" w:start="0"/>
    </w:pPr>
    <w:rPr/>
  </w:style>
  <w:style w:type="paragraph" w:styleId="TOC2">
    <w:name w:val="toc 2"/>
    <w:basedOn w:val="Style10"/>
    <w:pPr>
      <w:tabs>
        <w:tab w:val="clear" w:pos="720"/>
        <w:tab w:val="right" w:pos="8743" w:leader="dot"/>
      </w:tabs>
      <w:ind w:hanging="0" w:start="283"/>
    </w:pPr>
    <w:rPr/>
  </w:style>
  <w:style w:type="paragraph" w:styleId="TOC3">
    <w:name w:val="toc 3"/>
    <w:basedOn w:val="Style10"/>
    <w:pPr>
      <w:tabs>
        <w:tab w:val="clear" w:pos="720"/>
        <w:tab w:val="right" w:pos="8459" w:leader="dot"/>
      </w:tabs>
      <w:ind w:hanging="0" w:start="567"/>
    </w:pPr>
    <w:rPr/>
  </w:style>
  <w:style w:type="paragraph" w:styleId="Style13">
    <w:name w:val="Содержимое врезки"/>
    <w:basedOn w:val="Normal"/>
    <w:pPr/>
    <w:rPr/>
  </w:style>
  <w:style w:type="paragraph" w:styleId="1">
    <w:name w:val="Заголовок 1 Без номера"/>
    <w:basedOn w:val="normal1"/>
    <w:pPr/>
    <w:rPr/>
  </w:style>
  <w:style w:type="paragraph" w:styleId="11">
    <w:name w:val="Без имени1"/>
    <w:basedOn w:val="1"/>
    <w:pPr>
      <w:keepNext w:val="true"/>
      <w:pageBreakBefore/>
      <w:ind w:hanging="0"/>
      <w:outlineLvl w:val="0"/>
    </w:pPr>
    <w:rPr/>
  </w:style>
  <w:style w:type="paragraph" w:styleId="Style14">
    <w:name w:val="Абзац рисунка"/>
    <w:basedOn w:val="Normal"/>
    <w:pPr>
      <w:keepNext w:val="true"/>
      <w:keepLines/>
      <w:spacing w:lineRule="auto" w:line="240" w:before="278" w:after="0"/>
      <w:ind w:hanging="0" w:start="0"/>
      <w:jc w:val="center"/>
    </w:pPr>
    <w:rPr/>
  </w:style>
  <w:style w:type="paragraph" w:styleId="Style15">
    <w:name w:val="Иллюстрация"/>
    <w:basedOn w:val="Caption"/>
    <w:pPr>
      <w:spacing w:lineRule="auto" w:line="240" w:before="0" w:after="0"/>
      <w:ind w:hanging="0"/>
    </w:pPr>
    <w:rPr>
      <w:i w:val="false"/>
      <w:sz w:val="28"/>
    </w:rPr>
  </w:style>
  <w:style w:type="paragraph" w:styleId="Style16">
    <w:name w:val="Абзац Формулы"/>
    <w:basedOn w:val="Normal"/>
    <w:pPr>
      <w:tabs>
        <w:tab w:val="clear" w:pos="720"/>
        <w:tab w:val="center" w:pos="4535" w:leader="none"/>
        <w:tab w:val="right" w:pos="8504" w:leader="none"/>
        <w:tab w:val="right" w:pos="9638" w:leader="none"/>
      </w:tabs>
      <w:spacing w:before="278" w:after="278"/>
      <w:ind w:hanging="0"/>
    </w:pPr>
    <w:rPr/>
  </w:style>
  <w:style w:type="paragraph" w:styleId="Style17">
    <w:name w:val="Рисунок"/>
    <w:basedOn w:val="Caption"/>
    <w:pPr/>
    <w:rPr/>
  </w:style>
  <w:style w:type="paragraph" w:styleId="Style18">
    <w:name w:val="Содержимое таблицы"/>
    <w:basedOn w:val="Normal"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LibreOffice/26.8.0.3$Windows_X86_64 LibreOffice_project/bce0998afefdbc355585ca324285661a2170ba77</Application>
  <AppVersion>15.0000</AppVersion>
  <Pages>14</Pages>
  <Words>849</Words>
  <Characters>5978</Characters>
  <CharactersWithSpaces>6729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2026-09-10T17:45:36Z</dcterms:modified>
  <cp:revision>2</cp:revision>
  <dc:subject/>
  <dc:title/>
</cp:coreProperties>
</file>