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Autospacing="0" w:before="299" w:afterAutospacing="0" w:after="299"/>
        <w:rPr/>
      </w:pPr>
      <w:r>
        <w:rPr>
          <w:rFonts w:eastAsia="Aptos" w:cs="Aptos" w:ascii="Aptos" w:hAnsi="Aptos"/>
          <w:b/>
          <w:bCs/>
          <w:sz w:val="36"/>
          <w:szCs w:val="36"/>
          <w:lang w:val="en-GB"/>
        </w:rPr>
        <w:t>Test Case Suite for EQSR Website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GB"/>
        </w:rPr>
        <w:t>1. Login &amp; Role-Based Access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TC001 – Valid Login (Admin/User/Manager)</w:t>
      </w:r>
    </w:p>
    <w:p>
      <w:pPr>
        <w:pStyle w:val="ListParagraph"/>
        <w:numPr>
          <w:ilvl w:val="0"/>
          <w:numId w:val="17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Precondition:</w:t>
      </w:r>
      <w:r>
        <w:rPr>
          <w:rFonts w:eastAsia="Aptos" w:cs="Aptos"/>
          <w:sz w:val="24"/>
          <w:szCs w:val="24"/>
          <w:lang w:val="en-GB"/>
        </w:rPr>
        <w:t xml:space="preserve"> Valid credentials exist for each role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Steps:</w:t>
      </w:r>
      <w:r>
        <w:rPr>
          <w:rFonts w:eastAsia="Aptos" w:cs="Aptos"/>
          <w:sz w:val="24"/>
          <w:szCs w:val="24"/>
          <w:lang w:val="en-GB"/>
        </w:rPr>
        <w:t xml:space="preserve"> Navigate to Portal Login → enter credentials → click </w:t>
      </w:r>
      <w:r>
        <w:rPr>
          <w:rFonts w:eastAsia="Aptos" w:cs="Aptos"/>
          <w:b/>
          <w:bCs/>
          <w:sz w:val="24"/>
          <w:szCs w:val="24"/>
          <w:lang w:val="en-GB"/>
        </w:rPr>
        <w:t>Login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Dashboard loads appropriate view (e.g., Admin sees multi-unit data; staff sees daily tasks)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TC002 – Invalid Login</w:t>
      </w:r>
    </w:p>
    <w:p>
      <w:pPr>
        <w:pStyle w:val="ListParagraph"/>
        <w:numPr>
          <w:ilvl w:val="0"/>
          <w:numId w:val="16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Enter incorrect credentials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Error message, no access to portal</w:t>
      </w:r>
    </w:p>
    <w:p>
      <w:pPr>
        <w:pStyle w:val="Normal"/>
        <w:rPr/>
      </w:pPr>
      <w:r>
        <w:rPr/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GB"/>
        </w:rPr>
        <w:t>2. Task &amp; Audit Management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TC003 – View All Tasks</w:t>
      </w:r>
    </w:p>
    <w:p>
      <w:pPr>
        <w:pStyle w:val="ListParagraph"/>
        <w:numPr>
          <w:ilvl w:val="0"/>
          <w:numId w:val="1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Post-login, navigate to "Daily / Weekly / Monthly Task Management"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List of tasks with status (pending/completed/missed); filter/sort works 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TC004 – Create Daily Task</w:t>
      </w:r>
      <w:r>
        <w:rPr>
          <w:rFonts w:eastAsia="Aptos" w:cs="Aptos"/>
          <w:sz w:val="24"/>
          <w:szCs w:val="24"/>
          <w:lang w:val="en-GB"/>
        </w:rPr>
        <w:t xml:space="preserve"> (Admin/Manager)</w:t>
      </w:r>
    </w:p>
    <w:p>
      <w:pPr>
        <w:pStyle w:val="ListParagraph"/>
        <w:numPr>
          <w:ilvl w:val="0"/>
          <w:numId w:val="14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Add new task via UI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Task appears in task list, notifications available for staff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TC005 – Complete a Task (Staff)</w:t>
      </w:r>
    </w:p>
    <w:p>
      <w:pPr>
        <w:pStyle w:val="ListParagraph"/>
        <w:numPr>
          <w:ilvl w:val="0"/>
          <w:numId w:val="13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Mark task as complete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Status updates to “completed”; daily email report scheduled </w:t>
      </w:r>
    </w:p>
    <w:p>
      <w:pPr>
        <w:pStyle w:val="Normal"/>
        <w:rPr/>
      </w:pPr>
      <w:r>
        <w:rPr/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GB"/>
        </w:rPr>
        <w:t>3. Health &amp; Quality Checks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TC006 – Health Check Report</w:t>
      </w:r>
    </w:p>
    <w:p>
      <w:pPr>
        <w:pStyle w:val="ListParagraph"/>
        <w:numPr>
          <w:ilvl w:val="0"/>
          <w:numId w:val="12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Navigate to Health Check module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Historical data is shown with ability to schedule checks 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TC007 – Submit Equipment/Spot-Check</w:t>
      </w:r>
    </w:p>
    <w:p>
      <w:pPr>
        <w:pStyle w:val="ListParagraph"/>
        <w:numPr>
          <w:ilvl w:val="0"/>
          <w:numId w:val="11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Staff submits product quality check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Entry is saved; visible in records processed properly</w:t>
      </w:r>
    </w:p>
    <w:p>
      <w:pPr>
        <w:pStyle w:val="Normal"/>
        <w:rPr/>
      </w:pPr>
      <w:r>
        <w:rPr/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GB"/>
        </w:rPr>
        <w:t>4. Supplier &amp; Inventory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TC008 – Add/Manage Supplier</w:t>
      </w:r>
    </w:p>
    <w:p>
      <w:pPr>
        <w:pStyle w:val="ListParagraph"/>
        <w:numPr>
          <w:ilvl w:val="0"/>
          <w:numId w:val="10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Create/update/delete supplier entry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Changes reflect under Supplier Management 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TC009 – Receiving Log &amp; Delivery Quality</w:t>
      </w:r>
    </w:p>
    <w:p>
      <w:pPr>
        <w:pStyle w:val="ListParagraph"/>
        <w:numPr>
          <w:ilvl w:val="0"/>
          <w:numId w:val="9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Log new receipt, attach quality check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Appears in receiving inventory reports </w:t>
      </w:r>
    </w:p>
    <w:p>
      <w:pPr>
        <w:pStyle w:val="Normal"/>
        <w:rPr/>
      </w:pPr>
      <w:r>
        <w:rPr/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GB"/>
        </w:rPr>
        <w:t>5. Digital Signage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TC010 – Manage Signage Content</w:t>
      </w:r>
    </w:p>
    <w:p>
      <w:pPr>
        <w:pStyle w:val="ListParagraph"/>
        <w:numPr>
          <w:ilvl w:val="0"/>
          <w:numId w:val="8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Navigate to Digital Signage module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Create content playlist, schedule deployment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Device group shows updated display content 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TC011 – Remote Signage Management</w:t>
      </w:r>
    </w:p>
    <w:p>
      <w:pPr>
        <w:pStyle w:val="ListParagraph"/>
        <w:numPr>
          <w:ilvl w:val="0"/>
          <w:numId w:val="7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Test remote update, offline handling, auto-restart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Displays correctly; status shows online/offline</w:t>
      </w:r>
    </w:p>
    <w:p>
      <w:pPr>
        <w:pStyle w:val="Normal"/>
        <w:rPr/>
      </w:pPr>
      <w:r>
        <w:rPr/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GB"/>
        </w:rPr>
        <w:t>6. Reporting &amp; Notifications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TC012 – Generate Daily/Weekly/Monthly Reports</w:t>
      </w:r>
    </w:p>
    <w:p>
      <w:pPr>
        <w:pStyle w:val="ListParagraph"/>
        <w:numPr>
          <w:ilvl w:val="0"/>
          <w:numId w:val="6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Access reports panel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Data for tasks, health, equipment; shown in dashboard or downloadable 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TC013 – Email Notification Workflow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Trigger daily task completion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Email sent to relevant users/managers automatically </w:t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GB"/>
        </w:rPr>
        <w:t>7. Pricing &amp; Subscription Flow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TC014 – Free Trial Signup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Register during 15</w:t>
        <w:noBreakHyphen/>
        <w:t>day trial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Access all Free plan features; no payment prompted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TC015 – Upgrade to Paid Plan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Attempt upgrade to Basic or Premium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Features enabled per plan (e.g., AI ordering, HR onboarding) </w:t>
      </w:r>
    </w:p>
    <w:p>
      <w:pPr>
        <w:pStyle w:val="Normal"/>
        <w:rPr/>
      </w:pPr>
      <w:r>
        <w:rPr/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GB"/>
        </w:rPr>
        <w:t>8. Security, Terms &amp; Privacy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TC016 – Terms &amp; Privacy Access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Visit Terms of Service / Privacy Policy links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hyperlink r:id="rId2">
        <w:r>
          <w:rPr>
            <w:rFonts w:eastAsia="Aptos" w:cs="Aptos"/>
            <w:sz w:val="24"/>
            <w:szCs w:val="24"/>
            <w:lang w:val="en-GB"/>
          </w:rPr>
          <w:t xml:space="preserve"> Pages display fully; link back works </w:t>
        </w:r>
      </w:hyperlink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TC017 – Data Protection &amp; Cookie Consent</w:t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Monitor cookie banner &amp; secure data entry (e.g., forms, login)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Expected:</w:t>
      </w:r>
      <w:r>
        <w:rPr>
          <w:rFonts w:eastAsia="Aptos" w:cs="Aptos"/>
          <w:sz w:val="24"/>
          <w:szCs w:val="24"/>
          <w:lang w:val="en-GB"/>
        </w:rPr>
        <w:t xml:space="preserve"> HTTPS active; cookies and personal data handled per privacy policy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16cdca95"/>
    <w:rPr>
      <w:color w:val="467886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16cdca9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ch-networks-command.updatestar.com/en?utm_source=chatgpt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3</Pages>
  <Words>409</Words>
  <Characters>2325</Characters>
  <CharactersWithSpaces>2663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2025-06-30T06:08:25Z</dcterms:created>
  <dc:creator>Neha  Solanki</dc:creator>
  <dc:description/>
  <dc:language>en-IN</dc:language>
  <cp:lastModifiedBy/>
  <dcterms:modified xsi:type="dcterms:W3CDTF">2025-07-22T12:46:44Z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