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Global AAA Market is estimated to grow with a significant CAGR during the forecast period. Dialysis technology is evolving toward high biocompatibility and permeability because such dialyzers can reduce mortality in hemodialysis patients. There are two types of membrane dialyzers: low-flux and high-flux. High-flux membranes have a high biocompatibility, and European Renal Best Practice guidelines encourage big holes to </w:t>
      </w:r>
      <w:proofErr w:type="spellStart"/>
      <w:r>
        <w:rPr>
          <w:rFonts w:ascii="Calibri" w:hAnsi="Calibri"/>
          <w:color w:val="3C3C3C"/>
          <w:bdr w:val="none" w:sz="0" w:space="0" w:color="auto" w:frame="1"/>
          <w:shd w:val="clear" w:color="auto" w:fill="FFFFFF"/>
        </w:rPr>
        <w:t>minimise</w:t>
      </w:r>
      <w:proofErr w:type="spellEnd"/>
      <w:r>
        <w:rPr>
          <w:rFonts w:ascii="Calibri" w:hAnsi="Calibri"/>
          <w:color w:val="3C3C3C"/>
          <w:bdr w:val="none" w:sz="0" w:space="0" w:color="auto" w:frame="1"/>
          <w:shd w:val="clear" w:color="auto" w:fill="FFFFFF"/>
        </w:rPr>
        <w:t xml:space="preserve"> mortality2 and morbidity. The report was compiled after researching a variety of elements that influence regional growth, including the region's economic, social, environmental, technological, and political conditions. A dialyzer is a medical device that performs the function of the kidneys by removing excess water and metabolic waste products from the blood by the use of an artificial membrane, also known as hollow </w:t>
      </w:r>
      <w:proofErr w:type="spellStart"/>
      <w:r>
        <w:rPr>
          <w:rFonts w:ascii="Calibri" w:hAnsi="Calibri"/>
          <w:color w:val="3C3C3C"/>
          <w:bdr w:val="none" w:sz="0" w:space="0" w:color="auto" w:frame="1"/>
          <w:shd w:val="clear" w:color="auto" w:fill="FFFFFF"/>
        </w:rPr>
        <w:t>fibre</w:t>
      </w:r>
      <w:proofErr w:type="spellEnd"/>
      <w:r>
        <w:rPr>
          <w:rFonts w:ascii="Calibri" w:hAnsi="Calibri"/>
          <w:color w:val="3C3C3C"/>
          <w:bdr w:val="none" w:sz="0" w:space="0" w:color="auto" w:frame="1"/>
          <w:shd w:val="clear" w:color="auto" w:fill="FFFFFF"/>
        </w:rPr>
        <w:t>. Medical professionals commonly use dialyzers during hemodialysis procedures.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The report "</w:t>
      </w:r>
      <w:r>
        <w:rPr>
          <w:rStyle w:val="Strong"/>
          <w:color w:val="3C3C3C"/>
          <w:bdr w:val="none" w:sz="0" w:space="0" w:color="auto" w:frame="1"/>
        </w:rPr>
        <w:t> </w:t>
      </w:r>
      <w:r>
        <w:rPr>
          <w:rStyle w:val="Strong"/>
          <w:rFonts w:ascii="Calibri" w:hAnsi="Calibri"/>
          <w:color w:val="3C3C3C"/>
          <w:bdr w:val="none" w:sz="0" w:space="0" w:color="auto" w:frame="1"/>
        </w:rPr>
        <w:t>Global AAA Market, By Type (High Throughput Dialyzers and Low Throughput Dialyzers), By Application (Public Hospital, Private Clinic, Nursing Home, and Personal Care), and By Region (North America, Europe, Asia Pacific, Latin America, and Middle East &amp; Africa) - Market Trends, Analysis, and Forecast till 2030.</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Highlights:</w:t>
      </w:r>
    </w:p>
    <w:p w:rsidR="005B39A2" w:rsidRDefault="005B39A2" w:rsidP="005B39A2">
      <w:pPr>
        <w:numPr>
          <w:ilvl w:val="0"/>
          <w:numId w:val="1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 xml:space="preserve">In August 2020, The US Food and Drug Administration (FDA) has approved the De Novo application for Baxter International Inc.'s (NYSE:BAX) new dialysis membrane, </w:t>
      </w:r>
      <w:proofErr w:type="spellStart"/>
      <w:r>
        <w:rPr>
          <w:rFonts w:ascii="Calibri" w:hAnsi="Calibri"/>
          <w:color w:val="3C3C3C"/>
          <w:bdr w:val="none" w:sz="0" w:space="0" w:color="auto" w:frame="1"/>
          <w:shd w:val="clear" w:color="auto" w:fill="FFFFFF"/>
        </w:rPr>
        <w:t>Theranova</w:t>
      </w:r>
      <w:proofErr w:type="spellEnd"/>
      <w:r>
        <w:rPr>
          <w:rFonts w:ascii="Calibri" w:hAnsi="Calibri"/>
          <w:color w:val="3C3C3C"/>
          <w:bdr w:val="none" w:sz="0" w:space="0" w:color="auto" w:frame="1"/>
          <w:shd w:val="clear" w:color="auto" w:fill="FFFFFF"/>
        </w:rPr>
        <w:t>. The FDA is creating a new class of dialyzer technology with distinct performance specifications by approving a De Novo application. The De Novo method is used by the FDA for low and moderate risk medical devices that do not have an existing predicate in the United States; such designations are uncommon in the dialysis industry.</w:t>
      </w:r>
    </w:p>
    <w:p w:rsidR="005B39A2" w:rsidRDefault="005B39A2" w:rsidP="005B39A2">
      <w:pPr>
        <w:numPr>
          <w:ilvl w:val="0"/>
          <w:numId w:val="14"/>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In December 2021, Carrie, a custom-built mobile app that connects, informs, and supports Fresenius Kidney Care nurses and clinical teams in the Asia Pacific area, was launched  by Fresenius Medical Care, the world's leading provider of products and services for persons with renal disorders. The business was inspired to establish a digital platform that champions nurses at the core of healthcare as one of the largest employers of nurses across a huge network of dialysis clinics.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Analyst View:</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A significant increase in the elderly population, as well as an increase in the frequency of renal illnesses, notably end stage renal disease, are driving the worldwide dialyzer market (ESRD). Market growth is expected to be boosted by increased funding for improved dialysis products and services, rising diabetes and hypertension prevalence, and a scarcity of kidneys for transplantation.</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shd w:val="clear" w:color="auto" w:fill="FFFFFF"/>
        </w:rPr>
        <w:t>Browse 60 market data tables* and 35 figures* through 140 slides and in-depth TOC on “Global AAA Market, By Type (High Throughput Dialyzers and Low Throughput Dialyzers), By Application (Public Hospital, Private Clinic, Nursing Home, and Personal Care), and By Region (North America, Europe, Asia Pacific, Latin America, and Middle East &amp; Africa) - Market Trends, Analysis, and Forecast till 2030.</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shd w:val="clear" w:color="auto" w:fill="FFFFFF"/>
        </w:rPr>
        <w:t>To know the upcoming trends and insights prevalent in this market, click the link below</w:t>
      </w:r>
      <w:r>
        <w:rPr>
          <w:rStyle w:val="Strong"/>
          <w:rFonts w:ascii="Calibri" w:hAnsi="Calibri"/>
          <w:i/>
          <w:iCs/>
          <w:color w:val="80819F"/>
          <w:bdr w:val="none" w:sz="0" w:space="0" w:color="auto" w:frame="1"/>
          <w:shd w:val="clear" w:color="auto" w:fill="FFFFFF"/>
        </w:rPr>
        <w:t>:</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hyperlink r:id="rId5" w:history="1">
        <w:r>
          <w:rPr>
            <w:rStyle w:val="Hyperlink"/>
            <w:rFonts w:ascii="Calibri" w:hAnsi="Calibri"/>
            <w:i/>
            <w:iCs/>
            <w:sz w:val="22"/>
            <w:szCs w:val="22"/>
            <w:bdr w:val="none" w:sz="0" w:space="0" w:color="auto" w:frame="1"/>
            <w:shd w:val="clear" w:color="auto" w:fill="F5F5F5"/>
          </w:rPr>
          <w:t>https://www.prophecymarketinsights.com/market_insight/Global-AAA-Market-By-Type-3487</w:t>
        </w:r>
      </w:hyperlink>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The Global AAA Market is estimated to grow with a significant CAGR during the forecast </w:t>
      </w:r>
      <w:proofErr w:type="spellStart"/>
      <w:r>
        <w:rPr>
          <w:rFonts w:ascii="Calibri" w:hAnsi="Calibri"/>
          <w:color w:val="3C3C3C"/>
          <w:bdr w:val="none" w:sz="0" w:space="0" w:color="auto" w:frame="1"/>
          <w:shd w:val="clear" w:color="auto" w:fill="FFFFFF"/>
        </w:rPr>
        <w:t>period.The</w:t>
      </w:r>
      <w:proofErr w:type="spellEnd"/>
      <w:r>
        <w:rPr>
          <w:rFonts w:ascii="Calibri" w:hAnsi="Calibri"/>
          <w:color w:val="3C3C3C"/>
          <w:bdr w:val="none" w:sz="0" w:space="0" w:color="auto" w:frame="1"/>
          <w:shd w:val="clear" w:color="auto" w:fill="FFFFFF"/>
        </w:rPr>
        <w:t xml:space="preserve"> Global AAA Market has been segmented on the basis of type, application and region.</w:t>
      </w:r>
    </w:p>
    <w:p w:rsidR="005B39A2" w:rsidRDefault="005B39A2" w:rsidP="005B39A2">
      <w:pPr>
        <w:numPr>
          <w:ilvl w:val="0"/>
          <w:numId w:val="1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Type, the AAA Market is segmented into High Throughput Dialyzers and Low Throughput Dialyzers.</w:t>
      </w:r>
    </w:p>
    <w:p w:rsidR="005B39A2" w:rsidRDefault="005B39A2" w:rsidP="005B39A2">
      <w:pPr>
        <w:numPr>
          <w:ilvl w:val="0"/>
          <w:numId w:val="1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lastRenderedPageBreak/>
        <w:t>By Application, the AAA market is segmented into Public Hospital, Private Clinic, Nursing Home, and Personal Care.</w:t>
      </w:r>
    </w:p>
    <w:p w:rsidR="005B39A2" w:rsidRDefault="005B39A2" w:rsidP="005B39A2">
      <w:pPr>
        <w:numPr>
          <w:ilvl w:val="0"/>
          <w:numId w:val="1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By Region, the Global AAA Market is segmented North America, Europe, Asia Pacific, Latin America, and Middle East &amp; Africa.</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Competitive Landscape:</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 xml:space="preserve">The Key players operating in the global AAA market includes Fresenius SE &amp; </w:t>
      </w:r>
      <w:proofErr w:type="spellStart"/>
      <w:r>
        <w:rPr>
          <w:rFonts w:ascii="Calibri" w:hAnsi="Calibri"/>
          <w:color w:val="3C3C3C"/>
          <w:bdr w:val="none" w:sz="0" w:space="0" w:color="auto" w:frame="1"/>
          <w:shd w:val="clear" w:color="auto" w:fill="FFFFFF"/>
        </w:rPr>
        <w:t>Co.</w:t>
      </w:r>
      <w:proofErr w:type="gramStart"/>
      <w:r>
        <w:rPr>
          <w:rFonts w:ascii="Calibri" w:hAnsi="Calibri"/>
          <w:color w:val="3C3C3C"/>
          <w:bdr w:val="none" w:sz="0" w:space="0" w:color="auto" w:frame="1"/>
          <w:shd w:val="clear" w:color="auto" w:fill="FFFFFF"/>
        </w:rPr>
        <w:t>,Baxter</w:t>
      </w:r>
      <w:proofErr w:type="spellEnd"/>
      <w:proofErr w:type="gramEnd"/>
      <w:r>
        <w:rPr>
          <w:rFonts w:ascii="Calibri" w:hAnsi="Calibri"/>
          <w:color w:val="3C3C3C"/>
          <w:bdr w:val="none" w:sz="0" w:space="0" w:color="auto" w:frame="1"/>
          <w:shd w:val="clear" w:color="auto" w:fill="FFFFFF"/>
        </w:rPr>
        <w:t xml:space="preserve"> International </w:t>
      </w:r>
      <w:proofErr w:type="spellStart"/>
      <w:r>
        <w:rPr>
          <w:rFonts w:ascii="Calibri" w:hAnsi="Calibri"/>
          <w:color w:val="3C3C3C"/>
          <w:bdr w:val="none" w:sz="0" w:space="0" w:color="auto" w:frame="1"/>
          <w:shd w:val="clear" w:color="auto" w:fill="FFFFFF"/>
        </w:rPr>
        <w:t>Inc</w:t>
      </w:r>
      <w:proofErr w:type="spellEnd"/>
      <w:r>
        <w:rPr>
          <w:rFonts w:ascii="Calibri" w:hAnsi="Calibri"/>
          <w:color w:val="3C3C3C"/>
          <w:bdr w:val="none" w:sz="0" w:space="0" w:color="auto" w:frame="1"/>
          <w:shd w:val="clear" w:color="auto" w:fill="FFFFFF"/>
        </w:rPr>
        <w:t xml:space="preserve">.,Asahi, Toray , </w:t>
      </w:r>
      <w:proofErr w:type="spellStart"/>
      <w:r>
        <w:rPr>
          <w:rFonts w:ascii="Calibri" w:hAnsi="Calibri"/>
          <w:color w:val="3C3C3C"/>
          <w:bdr w:val="none" w:sz="0" w:space="0" w:color="auto" w:frame="1"/>
          <w:shd w:val="clear" w:color="auto" w:fill="FFFFFF"/>
        </w:rPr>
        <w:t>Weigao</w:t>
      </w:r>
      <w:proofErr w:type="spellEnd"/>
      <w:r>
        <w:rPr>
          <w:rFonts w:ascii="Calibri" w:hAnsi="Calibri"/>
          <w:color w:val="3C3C3C"/>
          <w:bdr w:val="none" w:sz="0" w:space="0" w:color="auto" w:frame="1"/>
          <w:shd w:val="clear" w:color="auto" w:fill="FFFFFF"/>
        </w:rPr>
        <w:t xml:space="preserve"> ,Braun, </w:t>
      </w:r>
      <w:proofErr w:type="spellStart"/>
      <w:r>
        <w:rPr>
          <w:rFonts w:ascii="Calibri" w:hAnsi="Calibri"/>
          <w:color w:val="3C3C3C"/>
          <w:bdr w:val="none" w:sz="0" w:space="0" w:color="auto" w:frame="1"/>
          <w:shd w:val="clear" w:color="auto" w:fill="FFFFFF"/>
        </w:rPr>
        <w:t>Nipro</w:t>
      </w:r>
      <w:proofErr w:type="spellEnd"/>
      <w:r>
        <w:rPr>
          <w:rFonts w:ascii="Calibri" w:hAnsi="Calibri"/>
          <w:color w:val="3C3C3C"/>
          <w:bdr w:val="none" w:sz="0" w:space="0" w:color="auto" w:frame="1"/>
          <w:shd w:val="clear" w:color="auto" w:fill="FFFFFF"/>
        </w:rPr>
        <w:t xml:space="preserve">, </w:t>
      </w:r>
      <w:proofErr w:type="spellStart"/>
      <w:r>
        <w:rPr>
          <w:rFonts w:ascii="Calibri" w:hAnsi="Calibri"/>
          <w:color w:val="3C3C3C"/>
          <w:bdr w:val="none" w:sz="0" w:space="0" w:color="auto" w:frame="1"/>
          <w:shd w:val="clear" w:color="auto" w:fill="FFFFFF"/>
        </w:rPr>
        <w:t>Langshen</w:t>
      </w:r>
      <w:proofErr w:type="spellEnd"/>
      <w:r>
        <w:rPr>
          <w:rFonts w:ascii="Calibri" w:hAnsi="Calibri"/>
          <w:color w:val="3C3C3C"/>
          <w:bdr w:val="none" w:sz="0" w:space="0" w:color="auto" w:frame="1"/>
          <w:shd w:val="clear" w:color="auto" w:fill="FFFFFF"/>
        </w:rPr>
        <w:t>, Chengdu OCI Medical.</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About Prophecy Market Insights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Some Important Points Answered in this Market Report Are Given Below:</w:t>
      </w:r>
    </w:p>
    <w:p w:rsidR="005B39A2" w:rsidRDefault="005B39A2" w:rsidP="005B39A2">
      <w:pPr>
        <w:numPr>
          <w:ilvl w:val="0"/>
          <w:numId w:val="1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an overview of the product portfolio, including product development, planning, and positioning</w:t>
      </w:r>
    </w:p>
    <w:p w:rsidR="005B39A2" w:rsidRDefault="005B39A2" w:rsidP="005B39A2">
      <w:pPr>
        <w:numPr>
          <w:ilvl w:val="0"/>
          <w:numId w:val="1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5B39A2" w:rsidRDefault="005B39A2" w:rsidP="005B39A2">
      <w:pPr>
        <w:numPr>
          <w:ilvl w:val="0"/>
          <w:numId w:val="1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Detailed analysis of the market revenue over the forecasted period.</w:t>
      </w:r>
    </w:p>
    <w:p w:rsidR="005B39A2" w:rsidRDefault="005B39A2" w:rsidP="005B39A2">
      <w:pPr>
        <w:numPr>
          <w:ilvl w:val="0"/>
          <w:numId w:val="1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Examining various outlooks of the market with the help of Porter’s five forces analysis, PEST &amp; SWOT Analysis.</w:t>
      </w:r>
    </w:p>
    <w:p w:rsidR="005B39A2" w:rsidRDefault="005B39A2" w:rsidP="005B39A2">
      <w:pPr>
        <w:numPr>
          <w:ilvl w:val="0"/>
          <w:numId w:val="1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segments that are anticipated to dominate the market.</w:t>
      </w:r>
    </w:p>
    <w:p w:rsidR="005B39A2" w:rsidRDefault="005B39A2" w:rsidP="005B39A2">
      <w:pPr>
        <w:numPr>
          <w:ilvl w:val="0"/>
          <w:numId w:val="16"/>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on the regional analysis that is expected to register the highest growth over the forecast period </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Topics Covered</w:t>
      </w:r>
    </w:p>
    <w:p w:rsidR="005B39A2" w:rsidRDefault="005B39A2" w:rsidP="005B39A2">
      <w:pPr>
        <w:numPr>
          <w:ilvl w:val="0"/>
          <w:numId w:val="17"/>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Introduction</w:t>
      </w:r>
    </w:p>
    <w:p w:rsidR="005B39A2" w:rsidRDefault="005B39A2" w:rsidP="005B39A2">
      <w:pPr>
        <w:numPr>
          <w:ilvl w:val="0"/>
          <w:numId w:val="1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Deliverables</w:t>
      </w:r>
    </w:p>
    <w:p w:rsidR="005B39A2" w:rsidRDefault="005B39A2" w:rsidP="005B39A2">
      <w:pPr>
        <w:numPr>
          <w:ilvl w:val="0"/>
          <w:numId w:val="1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Study Assumptions</w:t>
      </w:r>
    </w:p>
    <w:p w:rsidR="005B39A2" w:rsidRDefault="005B39A2" w:rsidP="005B39A2">
      <w:pPr>
        <w:numPr>
          <w:ilvl w:val="0"/>
          <w:numId w:val="18"/>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Scope of the Study</w:t>
      </w:r>
    </w:p>
    <w:p w:rsidR="005B39A2" w:rsidRDefault="005B39A2" w:rsidP="005B39A2">
      <w:pPr>
        <w:numPr>
          <w:ilvl w:val="0"/>
          <w:numId w:val="19"/>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Research Methodology</w:t>
      </w:r>
    </w:p>
    <w:p w:rsidR="005B39A2" w:rsidRDefault="005B39A2" w:rsidP="005B39A2">
      <w:pPr>
        <w:numPr>
          <w:ilvl w:val="0"/>
          <w:numId w:val="19"/>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Executive Summary</w:t>
      </w:r>
    </w:p>
    <w:p w:rsidR="005B39A2" w:rsidRDefault="005B39A2" w:rsidP="005B39A2">
      <w:pPr>
        <w:numPr>
          <w:ilvl w:val="0"/>
          <w:numId w:val="2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Opportunity Map Analysis</w:t>
      </w:r>
    </w:p>
    <w:p w:rsidR="005B39A2" w:rsidRDefault="005B39A2" w:rsidP="005B39A2">
      <w:pPr>
        <w:numPr>
          <w:ilvl w:val="0"/>
          <w:numId w:val="2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at Glance</w:t>
      </w:r>
    </w:p>
    <w:p w:rsidR="005B39A2" w:rsidRDefault="005B39A2" w:rsidP="005B39A2">
      <w:pPr>
        <w:numPr>
          <w:ilvl w:val="0"/>
          <w:numId w:val="2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Share (%) and BPS Analysis, by Region</w:t>
      </w:r>
    </w:p>
    <w:p w:rsidR="005B39A2" w:rsidRDefault="005B39A2" w:rsidP="005B39A2">
      <w:pPr>
        <w:numPr>
          <w:ilvl w:val="0"/>
          <w:numId w:val="2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Competitive Landscape</w:t>
      </w:r>
    </w:p>
    <w:p w:rsidR="005B39A2" w:rsidRDefault="005B39A2" w:rsidP="005B39A2">
      <w:pPr>
        <w:numPr>
          <w:ilvl w:val="0"/>
          <w:numId w:val="2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Heat Map Analysis </w:t>
      </w:r>
    </w:p>
    <w:p w:rsidR="005B39A2" w:rsidRDefault="005B39A2" w:rsidP="005B39A2">
      <w:pPr>
        <w:numPr>
          <w:ilvl w:val="0"/>
          <w:numId w:val="20"/>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shd w:val="clear" w:color="auto" w:fill="FFFFFF"/>
        </w:rPr>
        <w:t>Market Presence and Specificity Analysis</w:t>
      </w:r>
    </w:p>
    <w:p w:rsidR="005B39A2" w:rsidRDefault="005B39A2" w:rsidP="005B39A2">
      <w:pPr>
        <w:numPr>
          <w:ilvl w:val="0"/>
          <w:numId w:val="21"/>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Investment Analysis</w:t>
      </w:r>
    </w:p>
    <w:p w:rsidR="005B39A2" w:rsidRDefault="005B39A2" w:rsidP="005B39A2">
      <w:pPr>
        <w:numPr>
          <w:ilvl w:val="0"/>
          <w:numId w:val="21"/>
        </w:numPr>
        <w:shd w:val="clear" w:color="auto" w:fill="FFFFFF"/>
        <w:spacing w:after="0" w:line="240" w:lineRule="auto"/>
        <w:ind w:left="0"/>
        <w:jc w:val="both"/>
        <w:rPr>
          <w:rFonts w:ascii="Open Sans" w:hAnsi="Open Sans"/>
          <w:color w:val="333333"/>
          <w:sz w:val="21"/>
          <w:szCs w:val="21"/>
        </w:rPr>
      </w:pPr>
      <w:r>
        <w:rPr>
          <w:rStyle w:val="Strong"/>
          <w:rFonts w:ascii="Calibri" w:hAnsi="Calibri"/>
          <w:color w:val="333333"/>
          <w:bdr w:val="none" w:sz="0" w:space="0" w:color="auto" w:frame="1"/>
          <w:shd w:val="clear" w:color="auto" w:fill="FFFFFF"/>
        </w:rPr>
        <w:t>Competitive Analysis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lastRenderedPageBreak/>
        <w:t>To know more</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Contact Us: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Sales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Prophecy Market Insights</w:t>
      </w:r>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hyperlink r:id="rId6" w:history="1">
        <w:r>
          <w:rPr>
            <w:rStyle w:val="Hyperlink"/>
            <w:rFonts w:ascii="Calibri" w:hAnsi="Calibri"/>
            <w:color w:val="80819F"/>
            <w:bdr w:val="none" w:sz="0" w:space="0" w:color="auto" w:frame="1"/>
            <w:shd w:val="clear" w:color="auto" w:fill="F5F5F5"/>
          </w:rPr>
          <w:t>  1 860 531 2701</w:t>
        </w:r>
      </w:hyperlink>
    </w:p>
    <w:p w:rsidR="005B39A2" w:rsidRDefault="005B39A2" w:rsidP="005B39A2">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Email- </w:t>
      </w:r>
      <w:hyperlink r:id="rId7" w:history="1">
        <w:r>
          <w:rPr>
            <w:rStyle w:val="Hyperlink"/>
            <w:rFonts w:ascii="Calibri" w:hAnsi="Calibri"/>
            <w:color w:val="0070C0"/>
            <w:bdr w:val="none" w:sz="0" w:space="0" w:color="auto" w:frame="1"/>
            <w:shd w:val="clear" w:color="auto" w:fill="F5F5F5"/>
          </w:rPr>
          <w:t>sales@prophecymarketinsights.com</w:t>
        </w:r>
      </w:hyperlink>
    </w:p>
    <w:p w:rsidR="00297215" w:rsidRPr="005B39A2" w:rsidRDefault="00297215" w:rsidP="005B39A2">
      <w:bookmarkStart w:id="0" w:name="_GoBack"/>
      <w:bookmarkEnd w:id="0"/>
    </w:p>
    <w:sectPr w:rsidR="00297215" w:rsidRPr="005B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55E0B"/>
    <w:multiLevelType w:val="multilevel"/>
    <w:tmpl w:val="40044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03675"/>
    <w:multiLevelType w:val="multilevel"/>
    <w:tmpl w:val="C18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C5119"/>
    <w:multiLevelType w:val="multilevel"/>
    <w:tmpl w:val="ECC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21DA"/>
    <w:multiLevelType w:val="multilevel"/>
    <w:tmpl w:val="C1B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51017"/>
    <w:multiLevelType w:val="multilevel"/>
    <w:tmpl w:val="E5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962AE"/>
    <w:multiLevelType w:val="multilevel"/>
    <w:tmpl w:val="16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D4AC9"/>
    <w:multiLevelType w:val="multilevel"/>
    <w:tmpl w:val="7B3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C27EA"/>
    <w:multiLevelType w:val="multilevel"/>
    <w:tmpl w:val="DC5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B31D3"/>
    <w:multiLevelType w:val="multilevel"/>
    <w:tmpl w:val="64A6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12CB2"/>
    <w:multiLevelType w:val="multilevel"/>
    <w:tmpl w:val="ED9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A35B6E"/>
    <w:multiLevelType w:val="multilevel"/>
    <w:tmpl w:val="A4F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1C08F5"/>
    <w:multiLevelType w:val="multilevel"/>
    <w:tmpl w:val="8F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A4A69"/>
    <w:multiLevelType w:val="multilevel"/>
    <w:tmpl w:val="DDD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F5291"/>
    <w:multiLevelType w:val="multilevel"/>
    <w:tmpl w:val="ADEE3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72508"/>
    <w:multiLevelType w:val="multilevel"/>
    <w:tmpl w:val="A21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622798"/>
    <w:multiLevelType w:val="multilevel"/>
    <w:tmpl w:val="4FA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337757"/>
    <w:multiLevelType w:val="multilevel"/>
    <w:tmpl w:val="0AD2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F01D3E"/>
    <w:multiLevelType w:val="multilevel"/>
    <w:tmpl w:val="381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701052"/>
    <w:multiLevelType w:val="multilevel"/>
    <w:tmpl w:val="A5C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7C7401"/>
    <w:multiLevelType w:val="multilevel"/>
    <w:tmpl w:val="4B16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865069"/>
    <w:multiLevelType w:val="multilevel"/>
    <w:tmpl w:val="26282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6"/>
  </w:num>
  <w:num w:numId="4">
    <w:abstractNumId w:val="10"/>
  </w:num>
  <w:num w:numId="5">
    <w:abstractNumId w:val="8"/>
  </w:num>
  <w:num w:numId="6">
    <w:abstractNumId w:val="1"/>
  </w:num>
  <w:num w:numId="7">
    <w:abstractNumId w:val="12"/>
  </w:num>
  <w:num w:numId="8">
    <w:abstractNumId w:val="11"/>
  </w:num>
  <w:num w:numId="9">
    <w:abstractNumId w:val="13"/>
  </w:num>
  <w:num w:numId="10">
    <w:abstractNumId w:val="2"/>
  </w:num>
  <w:num w:numId="11">
    <w:abstractNumId w:val="20"/>
  </w:num>
  <w:num w:numId="12">
    <w:abstractNumId w:val="9"/>
  </w:num>
  <w:num w:numId="13">
    <w:abstractNumId w:val="4"/>
  </w:num>
  <w:num w:numId="14">
    <w:abstractNumId w:val="14"/>
  </w:num>
  <w:num w:numId="15">
    <w:abstractNumId w:val="7"/>
  </w:num>
  <w:num w:numId="16">
    <w:abstractNumId w:val="18"/>
  </w:num>
  <w:num w:numId="17">
    <w:abstractNumId w:val="19"/>
  </w:num>
  <w:num w:numId="18">
    <w:abstractNumId w:val="5"/>
  </w:num>
  <w:num w:numId="19">
    <w:abstractNumId w:val="0"/>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CA"/>
    <w:rsid w:val="00030ACA"/>
    <w:rsid w:val="00297215"/>
    <w:rsid w:val="0032634F"/>
    <w:rsid w:val="005621C5"/>
    <w:rsid w:val="005B39A2"/>
    <w:rsid w:val="00822848"/>
    <w:rsid w:val="009B1A6C"/>
    <w:rsid w:val="00E1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F84F-F299-4A07-A4C6-8D82B561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0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0A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ACA"/>
    <w:rPr>
      <w:b/>
      <w:bCs/>
    </w:rPr>
  </w:style>
  <w:style w:type="character" w:styleId="Emphasis">
    <w:name w:val="Emphasis"/>
    <w:basedOn w:val="DefaultParagraphFont"/>
    <w:uiPriority w:val="20"/>
    <w:qFormat/>
    <w:rsid w:val="00030ACA"/>
    <w:rPr>
      <w:i/>
      <w:iCs/>
    </w:rPr>
  </w:style>
  <w:style w:type="character" w:styleId="Hyperlink">
    <w:name w:val="Hyperlink"/>
    <w:basedOn w:val="DefaultParagraphFont"/>
    <w:uiPriority w:val="99"/>
    <w:semiHidden/>
    <w:unhideWhenUsed/>
    <w:rsid w:val="00030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98434">
      <w:bodyDiv w:val="1"/>
      <w:marLeft w:val="0"/>
      <w:marRight w:val="0"/>
      <w:marTop w:val="0"/>
      <w:marBottom w:val="0"/>
      <w:divBdr>
        <w:top w:val="none" w:sz="0" w:space="0" w:color="auto"/>
        <w:left w:val="none" w:sz="0" w:space="0" w:color="auto"/>
        <w:bottom w:val="none" w:sz="0" w:space="0" w:color="auto"/>
        <w:right w:val="none" w:sz="0" w:space="0" w:color="auto"/>
      </w:divBdr>
    </w:div>
    <w:div w:id="967706164">
      <w:bodyDiv w:val="1"/>
      <w:marLeft w:val="0"/>
      <w:marRight w:val="0"/>
      <w:marTop w:val="0"/>
      <w:marBottom w:val="0"/>
      <w:divBdr>
        <w:top w:val="none" w:sz="0" w:space="0" w:color="auto"/>
        <w:left w:val="none" w:sz="0" w:space="0" w:color="auto"/>
        <w:bottom w:val="none" w:sz="0" w:space="0" w:color="auto"/>
        <w:right w:val="none" w:sz="0" w:space="0" w:color="auto"/>
      </w:divBdr>
    </w:div>
    <w:div w:id="1343313271">
      <w:bodyDiv w:val="1"/>
      <w:marLeft w:val="0"/>
      <w:marRight w:val="0"/>
      <w:marTop w:val="0"/>
      <w:marBottom w:val="0"/>
      <w:divBdr>
        <w:top w:val="none" w:sz="0" w:space="0" w:color="auto"/>
        <w:left w:val="none" w:sz="0" w:space="0" w:color="auto"/>
        <w:bottom w:val="none" w:sz="0" w:space="0" w:color="auto"/>
        <w:right w:val="none" w:sz="0" w:space="0" w:color="auto"/>
      </w:divBdr>
    </w:div>
    <w:div w:id="192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AAA-Market-By-Type-34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cp:lastPrinted>2022-07-08T06:29:00Z</cp:lastPrinted>
  <dcterms:created xsi:type="dcterms:W3CDTF">2022-07-08T07:04:00Z</dcterms:created>
  <dcterms:modified xsi:type="dcterms:W3CDTF">2022-07-08T07:04:00Z</dcterms:modified>
</cp:coreProperties>
</file>