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color w:val="3C3C3C"/>
          <w:sz w:val="24"/>
          <w:szCs w:val="24"/>
          <w:bdr w:val="none" w:sz="0" w:space="0" w:color="auto" w:frame="1"/>
          <w:shd w:val="clear" w:color="auto" w:fill="FFFFFF"/>
        </w:rPr>
        <w:t xml:space="preserve">Global Biosensors Market accounted for US$ 23.76 billion in 2020 and is estimated to be US$ 49.09 billion by 2030 and is anticipated to register a CAGR of 7.5%. Biosensors are used to convert biological response into electrical signals and are the analytical devices having ability to have wide range of sensor response and sensor detection limits so biosensors can detect the human interleukin-10 causing heart diseases, and rapid detection of A biosensor is an analytical device, used for the detection of a chemical substance, that mixes a biological component with a physicochemical detector. The sensitive biological element, e.g. tissue, microorganisms, organelles, cell receptors, enzymes, antibodies, nucleic acids, etc., may be a biologically derived material or biomimetic component that interacts with, binds with, or recognizes the </w:t>
      </w:r>
      <w:proofErr w:type="spellStart"/>
      <w:r w:rsidRPr="0072314F">
        <w:rPr>
          <w:rFonts w:ascii="Calibri" w:eastAsia="Times New Roman" w:hAnsi="Calibri" w:cs="Times New Roman"/>
          <w:color w:val="3C3C3C"/>
          <w:sz w:val="24"/>
          <w:szCs w:val="24"/>
          <w:bdr w:val="none" w:sz="0" w:space="0" w:color="auto" w:frame="1"/>
          <w:shd w:val="clear" w:color="auto" w:fill="FFFFFF"/>
        </w:rPr>
        <w:t>analyte</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under study. The biologically sensitive elements also can be created by biological engineering.</w:t>
      </w: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color w:val="3C3C3C"/>
          <w:sz w:val="24"/>
          <w:szCs w:val="24"/>
          <w:bdr w:val="none" w:sz="0" w:space="0" w:color="auto" w:frame="1"/>
        </w:rPr>
        <w:t>The report "</w:t>
      </w:r>
      <w:r w:rsidRPr="0072314F">
        <w:rPr>
          <w:rFonts w:ascii="Times New Roman" w:eastAsia="Times New Roman" w:hAnsi="Times New Roman" w:cs="Times New Roman"/>
          <w:b/>
          <w:bCs/>
          <w:color w:val="3C3C3C"/>
          <w:sz w:val="24"/>
          <w:szCs w:val="24"/>
          <w:bdr w:val="none" w:sz="0" w:space="0" w:color="auto" w:frame="1"/>
        </w:rPr>
        <w:t> </w:t>
      </w:r>
      <w:r w:rsidRPr="0072314F">
        <w:rPr>
          <w:rFonts w:ascii="Calibri" w:eastAsia="Times New Roman" w:hAnsi="Calibri" w:cs="Times New Roman"/>
          <w:b/>
          <w:bCs/>
          <w:color w:val="3C3C3C"/>
          <w:sz w:val="24"/>
          <w:szCs w:val="24"/>
          <w:bdr w:val="none" w:sz="0" w:space="0" w:color="auto" w:frame="1"/>
        </w:rPr>
        <w:t xml:space="preserve">Global </w:t>
      </w:r>
      <w:bookmarkStart w:id="0" w:name="_GoBack"/>
      <w:r w:rsidRPr="0072314F">
        <w:rPr>
          <w:rFonts w:ascii="Calibri" w:eastAsia="Times New Roman" w:hAnsi="Calibri" w:cs="Times New Roman"/>
          <w:b/>
          <w:bCs/>
          <w:color w:val="3C3C3C"/>
          <w:sz w:val="24"/>
          <w:szCs w:val="24"/>
          <w:bdr w:val="none" w:sz="0" w:space="0" w:color="auto" w:frame="1"/>
        </w:rPr>
        <w:t>Biosensors Market</w:t>
      </w:r>
      <w:bookmarkEnd w:id="0"/>
      <w:r w:rsidRPr="0072314F">
        <w:rPr>
          <w:rFonts w:ascii="Calibri" w:eastAsia="Times New Roman" w:hAnsi="Calibri" w:cs="Times New Roman"/>
          <w:b/>
          <w:bCs/>
          <w:color w:val="3C3C3C"/>
          <w:sz w:val="24"/>
          <w:szCs w:val="24"/>
          <w:bdr w:val="none" w:sz="0" w:space="0" w:color="auto" w:frame="1"/>
        </w:rPr>
        <w:t xml:space="preserve">, By Technology Type (Thermal, Electrochemical, Piezoelectric, and Optical), By Application (Medical (Pregnancy Testing, Cholesterol, Blood Glucose, Drug Discovery, and Infectious Disease) Blood Gas Analyzer, Environment, Agriculture, Food Toxicity, and Bioreactor), By End Use (Food Industry, Research Laboratories, Home Healthcare Diagnostics, </w:t>
      </w:r>
      <w:proofErr w:type="spellStart"/>
      <w:r w:rsidRPr="0072314F">
        <w:rPr>
          <w:rFonts w:ascii="Calibri" w:eastAsia="Times New Roman" w:hAnsi="Calibri" w:cs="Times New Roman"/>
          <w:b/>
          <w:bCs/>
          <w:color w:val="3C3C3C"/>
          <w:sz w:val="24"/>
          <w:szCs w:val="24"/>
          <w:bdr w:val="none" w:sz="0" w:space="0" w:color="auto" w:frame="1"/>
        </w:rPr>
        <w:t>PoC</w:t>
      </w:r>
      <w:proofErr w:type="spellEnd"/>
      <w:r w:rsidRPr="0072314F">
        <w:rPr>
          <w:rFonts w:ascii="Calibri" w:eastAsia="Times New Roman" w:hAnsi="Calibri" w:cs="Times New Roman"/>
          <w:b/>
          <w:bCs/>
          <w:color w:val="3C3C3C"/>
          <w:sz w:val="24"/>
          <w:szCs w:val="24"/>
          <w:bdr w:val="none" w:sz="0" w:space="0" w:color="auto" w:frame="1"/>
        </w:rPr>
        <w:t xml:space="preserve"> Testing, and Security &amp; Bio-defense) and By Region (North America, Europe, Asian Pacific, Latin America, and Middle East &amp; Africa) – Trends, Analysis, and Forecast till 2030”</w:t>
      </w:r>
    </w:p>
    <w:p w:rsidR="0072314F" w:rsidRDefault="0072314F" w:rsidP="0072314F">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b/>
          <w:bCs/>
          <w:color w:val="3C3C3C"/>
          <w:sz w:val="24"/>
          <w:szCs w:val="24"/>
          <w:bdr w:val="none" w:sz="0" w:space="0" w:color="auto" w:frame="1"/>
          <w:shd w:val="clear" w:color="auto" w:fill="FFFFFF"/>
        </w:rPr>
        <w:t>Key Highlights:</w:t>
      </w:r>
    </w:p>
    <w:p w:rsidR="0072314F" w:rsidRPr="0072314F" w:rsidRDefault="0072314F" w:rsidP="0072314F">
      <w:pPr>
        <w:numPr>
          <w:ilvl w:val="0"/>
          <w:numId w:val="5"/>
        </w:numPr>
        <w:shd w:val="clear" w:color="auto" w:fill="FFFFFF"/>
        <w:spacing w:after="0" w:line="240" w:lineRule="auto"/>
        <w:ind w:left="450"/>
        <w:jc w:val="both"/>
        <w:rPr>
          <w:rFonts w:ascii="Open Sans" w:eastAsia="Times New Roman" w:hAnsi="Open Sans" w:cs="Times New Roman"/>
          <w:color w:val="3C3C3C"/>
          <w:sz w:val="21"/>
          <w:szCs w:val="21"/>
        </w:rPr>
      </w:pPr>
      <w:r w:rsidRPr="0072314F">
        <w:rPr>
          <w:rFonts w:ascii="Calibri" w:eastAsia="Times New Roman" w:hAnsi="Calibri" w:cs="Times New Roman"/>
          <w:color w:val="3C3C3C"/>
          <w:sz w:val="24"/>
          <w:szCs w:val="24"/>
          <w:bdr w:val="none" w:sz="0" w:space="0" w:color="auto" w:frame="1"/>
          <w:shd w:val="clear" w:color="auto" w:fill="FFFFFF"/>
        </w:rPr>
        <w:t xml:space="preserve">In 2021, </w:t>
      </w:r>
      <w:proofErr w:type="spellStart"/>
      <w:r w:rsidRPr="0072314F">
        <w:rPr>
          <w:rFonts w:ascii="Calibri" w:eastAsia="Times New Roman" w:hAnsi="Calibri" w:cs="Times New Roman"/>
          <w:color w:val="3C3C3C"/>
          <w:sz w:val="24"/>
          <w:szCs w:val="24"/>
          <w:bdr w:val="none" w:sz="0" w:space="0" w:color="auto" w:frame="1"/>
          <w:shd w:val="clear" w:color="auto" w:fill="FFFFFF"/>
        </w:rPr>
        <w:t>CareVention</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HealthCare, a division of Tabula Rasa HealthCare (TRHC), announced the launch of its Remote Patient Monitoring (RPM) service. Using biosensors and artificial intelligence (AI), </w:t>
      </w:r>
      <w:proofErr w:type="spellStart"/>
      <w:r w:rsidRPr="0072314F">
        <w:rPr>
          <w:rFonts w:ascii="Calibri" w:eastAsia="Times New Roman" w:hAnsi="Calibri" w:cs="Times New Roman"/>
          <w:color w:val="3C3C3C"/>
          <w:sz w:val="24"/>
          <w:szCs w:val="24"/>
          <w:bdr w:val="none" w:sz="0" w:space="0" w:color="auto" w:frame="1"/>
          <w:shd w:val="clear" w:color="auto" w:fill="FFFFFF"/>
        </w:rPr>
        <w:t>CareVention</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RPM provides continuous tracking of a patient's vital signs and symptoms and alerts the patient's healthcare provider to changes that warrant attention.</w:t>
      </w:r>
    </w:p>
    <w:p w:rsidR="0072314F" w:rsidRPr="0072314F" w:rsidRDefault="0072314F" w:rsidP="0072314F">
      <w:pPr>
        <w:numPr>
          <w:ilvl w:val="0"/>
          <w:numId w:val="5"/>
        </w:numPr>
        <w:shd w:val="clear" w:color="auto" w:fill="FFFFFF"/>
        <w:spacing w:after="0" w:line="240" w:lineRule="auto"/>
        <w:ind w:left="450"/>
        <w:jc w:val="both"/>
        <w:rPr>
          <w:rFonts w:ascii="Open Sans" w:eastAsia="Times New Roman" w:hAnsi="Open Sans" w:cs="Times New Roman"/>
          <w:color w:val="3C3C3C"/>
          <w:sz w:val="21"/>
          <w:szCs w:val="21"/>
        </w:rPr>
      </w:pPr>
      <w:r w:rsidRPr="0072314F">
        <w:rPr>
          <w:rFonts w:ascii="Calibri" w:eastAsia="Times New Roman" w:hAnsi="Calibri" w:cs="Times New Roman"/>
          <w:color w:val="3C3C3C"/>
          <w:sz w:val="24"/>
          <w:szCs w:val="24"/>
          <w:bdr w:val="none" w:sz="0" w:space="0" w:color="auto" w:frame="1"/>
          <w:shd w:val="clear" w:color="auto" w:fill="FFFFFF"/>
        </w:rPr>
        <w:t xml:space="preserve">In 2021, </w:t>
      </w:r>
      <w:proofErr w:type="spellStart"/>
      <w:r w:rsidRPr="0072314F">
        <w:rPr>
          <w:rFonts w:ascii="Calibri" w:eastAsia="Times New Roman" w:hAnsi="Calibri" w:cs="Times New Roman"/>
          <w:color w:val="3C3C3C"/>
          <w:sz w:val="24"/>
          <w:szCs w:val="24"/>
          <w:bdr w:val="none" w:sz="0" w:space="0" w:color="auto" w:frame="1"/>
          <w:shd w:val="clear" w:color="auto" w:fill="FFFFFF"/>
        </w:rPr>
        <w:t>Lifesciences</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specialist </w:t>
      </w:r>
      <w:proofErr w:type="spellStart"/>
      <w:r w:rsidRPr="0072314F">
        <w:rPr>
          <w:rFonts w:ascii="Calibri" w:eastAsia="Times New Roman" w:hAnsi="Calibri" w:cs="Times New Roman"/>
          <w:color w:val="3C3C3C"/>
          <w:sz w:val="24"/>
          <w:szCs w:val="24"/>
          <w:bdr w:val="none" w:sz="0" w:space="0" w:color="auto" w:frame="1"/>
          <w:shd w:val="clear" w:color="auto" w:fill="FFFFFF"/>
        </w:rPr>
        <w:t>XPhyto</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Therapeutics has recently acquired 3a Diagnostics in a bid to advance its infection-prevention solutions.</w:t>
      </w:r>
    </w:p>
    <w:p w:rsidR="0072314F" w:rsidRDefault="0072314F" w:rsidP="0072314F">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b/>
          <w:bCs/>
          <w:color w:val="3C3C3C"/>
          <w:sz w:val="24"/>
          <w:szCs w:val="24"/>
          <w:bdr w:val="none" w:sz="0" w:space="0" w:color="auto" w:frame="1"/>
          <w:shd w:val="clear" w:color="auto" w:fill="FFFFFF"/>
        </w:rPr>
        <w:t>Analyst View:</w:t>
      </w: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color w:val="3C3C3C"/>
          <w:sz w:val="24"/>
          <w:szCs w:val="24"/>
          <w:bdr w:val="none" w:sz="0" w:space="0" w:color="auto" w:frame="1"/>
          <w:shd w:val="clear" w:color="auto" w:fill="FFFFFF"/>
        </w:rPr>
        <w:t xml:space="preserve">Rapid detection of human papilloma virus which is the major propelling factor for the growth of target market. Additionally, biosensors give fast response to the biological signals which is the driving factor for the growth of target market. Nanotechnology-based biosensors are made from nanomaterial and have dimensions starting from 1 to 100 nm. These biosensors play an important role in sensing the mechanism of bio sensing technology. Integrating devices of nanomaterial with electrical systems has led to the event of </w:t>
      </w:r>
      <w:proofErr w:type="spellStart"/>
      <w:r w:rsidRPr="0072314F">
        <w:rPr>
          <w:rFonts w:ascii="Calibri" w:eastAsia="Times New Roman" w:hAnsi="Calibri" w:cs="Times New Roman"/>
          <w:color w:val="3C3C3C"/>
          <w:sz w:val="24"/>
          <w:szCs w:val="24"/>
          <w:bdr w:val="none" w:sz="0" w:space="0" w:color="auto" w:frame="1"/>
          <w:shd w:val="clear" w:color="auto" w:fill="FFFFFF"/>
        </w:rPr>
        <w:t>nanoelectromechanical</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systems. Several nanomaterial are explored for electronic and mechanical properties to be used in improving biological signaling and transduction mechanism, which involves the conversion of 1 sort of energy to a different.</w:t>
      </w:r>
    </w:p>
    <w:p w:rsidR="0072314F" w:rsidRDefault="0072314F" w:rsidP="0072314F">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i/>
          <w:iCs/>
          <w:color w:val="80819F"/>
          <w:sz w:val="24"/>
          <w:szCs w:val="24"/>
          <w:bdr w:val="none" w:sz="0" w:space="0" w:color="auto" w:frame="1"/>
          <w:shd w:val="clear" w:color="auto" w:fill="FFFFFF"/>
        </w:rPr>
        <w:t xml:space="preserve">Browse 60 market data tables* and 35 figures* through 140 slides and in-depth TOC on “Global Biosensors Market, By Technology Type (Thermal, Electrochemical, Piezoelectric, and Optical), By Application (Medical (Pregnancy Testing, Cholesterol, Blood Glucose, Drug Discovery, and Infectious Disease) Blood Gas Analyzer, Environment, Agriculture, Food Toxicity, and Bioreactor), By End Use (Food Industry, Research Laboratories, Home Healthcare Diagnostics, </w:t>
      </w:r>
      <w:proofErr w:type="spellStart"/>
      <w:r w:rsidRPr="0072314F">
        <w:rPr>
          <w:rFonts w:ascii="Calibri" w:eastAsia="Times New Roman" w:hAnsi="Calibri" w:cs="Times New Roman"/>
          <w:i/>
          <w:iCs/>
          <w:color w:val="80819F"/>
          <w:sz w:val="24"/>
          <w:szCs w:val="24"/>
          <w:bdr w:val="none" w:sz="0" w:space="0" w:color="auto" w:frame="1"/>
          <w:shd w:val="clear" w:color="auto" w:fill="FFFFFF"/>
        </w:rPr>
        <w:t>PoC</w:t>
      </w:r>
      <w:proofErr w:type="spellEnd"/>
      <w:r w:rsidRPr="0072314F">
        <w:rPr>
          <w:rFonts w:ascii="Calibri" w:eastAsia="Times New Roman" w:hAnsi="Calibri" w:cs="Times New Roman"/>
          <w:i/>
          <w:iCs/>
          <w:color w:val="80819F"/>
          <w:sz w:val="24"/>
          <w:szCs w:val="24"/>
          <w:bdr w:val="none" w:sz="0" w:space="0" w:color="auto" w:frame="1"/>
          <w:shd w:val="clear" w:color="auto" w:fill="FFFFFF"/>
        </w:rPr>
        <w:t xml:space="preserve"> Testing, and Security &amp; Bio-defense) and By Region (North America, Europe, Asian Pacific, Latin America, and Middle East &amp; Africa) – Trends, Analysis, and Forecast till 2030”</w:t>
      </w:r>
    </w:p>
    <w:p w:rsidR="0072314F" w:rsidRDefault="0072314F" w:rsidP="0072314F">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72314F">
        <w:rPr>
          <w:rFonts w:ascii="Calibri" w:eastAsia="Times New Roman" w:hAnsi="Calibri" w:cs="Times New Roman"/>
          <w:b/>
          <w:bCs/>
          <w:i/>
          <w:iCs/>
          <w:color w:val="80819F"/>
          <w:sz w:val="23"/>
          <w:szCs w:val="23"/>
          <w:bdr w:val="none" w:sz="0" w:space="0" w:color="auto" w:frame="1"/>
          <w:shd w:val="clear" w:color="auto" w:fill="FFFFFF"/>
        </w:rPr>
        <w:t>:</w:t>
      </w:r>
    </w:p>
    <w:p w:rsidR="0072314F" w:rsidRDefault="0072314F" w:rsidP="0072314F">
      <w:pPr>
        <w:shd w:val="clear" w:color="auto" w:fill="FFFFFF"/>
        <w:spacing w:after="0" w:line="240" w:lineRule="auto"/>
        <w:jc w:val="both"/>
        <w:rPr>
          <w:rFonts w:ascii="Calibri" w:eastAsia="Times New Roman" w:hAnsi="Calibri" w:cs="Times New Roman"/>
          <w:color w:val="3C3C3C"/>
          <w:bdr w:val="none" w:sz="0" w:space="0" w:color="auto" w:frame="1"/>
          <w:shd w:val="clear" w:color="auto" w:fill="FFFFFF"/>
        </w:rPr>
      </w:pP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72314F">
          <w:rPr>
            <w:rFonts w:ascii="Calibri" w:eastAsia="Times New Roman" w:hAnsi="Calibri" w:cs="Times New Roman"/>
            <w:i/>
            <w:iCs/>
            <w:color w:val="80819F"/>
            <w:sz w:val="24"/>
            <w:szCs w:val="24"/>
            <w:bdr w:val="none" w:sz="0" w:space="0" w:color="auto" w:frame="1"/>
            <w:shd w:val="clear" w:color="auto" w:fill="FFFFFF"/>
          </w:rPr>
          <w:t>https://www.prophecymarketinsights.com/market_insight/Global-Biosensors-Market-By-Technology-3721</w:t>
        </w:r>
      </w:hyperlink>
    </w:p>
    <w:p w:rsidR="0072314F" w:rsidRDefault="0072314F" w:rsidP="0072314F">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72314F" w:rsidRDefault="0072314F" w:rsidP="0072314F">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72314F" w:rsidRDefault="0072314F" w:rsidP="0072314F">
      <w:pPr>
        <w:shd w:val="clear" w:color="auto" w:fill="FFFFFF"/>
        <w:spacing w:after="0" w:line="240" w:lineRule="auto"/>
        <w:jc w:val="both"/>
        <w:rPr>
          <w:rFonts w:ascii="Calibri" w:eastAsia="Times New Roman" w:hAnsi="Calibri" w:cs="Times New Roman"/>
          <w:color w:val="3C3C3C"/>
          <w:bdr w:val="none" w:sz="0" w:space="0" w:color="auto" w:frame="1"/>
          <w:shd w:val="clear" w:color="auto" w:fill="FFFFFF"/>
        </w:rPr>
      </w:pPr>
      <w:r w:rsidRPr="0072314F">
        <w:rPr>
          <w:rFonts w:ascii="Calibri" w:eastAsia="Times New Roman" w:hAnsi="Calibri" w:cs="Times New Roman"/>
          <w:color w:val="3C3C3C"/>
          <w:sz w:val="24"/>
          <w:szCs w:val="24"/>
          <w:bdr w:val="none" w:sz="0" w:space="0" w:color="auto" w:frame="1"/>
          <w:shd w:val="clear" w:color="auto" w:fill="FFFFFF"/>
        </w:rPr>
        <w:t>The Global Biosensors Market accounted for US$ 23.76 billion in 2020 and is estimated to be US$ 49.09 billion by 2030 and is anticipated to register a CAGR of 7.5%. </w:t>
      </w:r>
      <w:r w:rsidRPr="0072314F">
        <w:rPr>
          <w:rFonts w:ascii="Calibri" w:eastAsia="Times New Roman" w:hAnsi="Calibri" w:cs="Times New Roman"/>
          <w:color w:val="3C3C3C"/>
          <w:bdr w:val="none" w:sz="0" w:space="0" w:color="auto" w:frame="1"/>
          <w:shd w:val="clear" w:color="auto" w:fill="FFFFFF"/>
        </w:rPr>
        <w:t>The global biosensors market is segmented based on technology type, application, End-user and by region.</w:t>
      </w: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p>
    <w:p w:rsidR="0072314F" w:rsidRPr="0072314F" w:rsidRDefault="0072314F" w:rsidP="0072314F">
      <w:pPr>
        <w:numPr>
          <w:ilvl w:val="0"/>
          <w:numId w:val="6"/>
        </w:numPr>
        <w:shd w:val="clear" w:color="auto" w:fill="FFFFFF"/>
        <w:spacing w:after="0" w:line="240" w:lineRule="auto"/>
        <w:ind w:left="450"/>
        <w:jc w:val="both"/>
        <w:rPr>
          <w:rFonts w:ascii="Open Sans" w:eastAsia="Times New Roman" w:hAnsi="Open Sans" w:cs="Times New Roman"/>
          <w:color w:val="3C3C3C"/>
          <w:sz w:val="21"/>
          <w:szCs w:val="21"/>
        </w:rPr>
      </w:pPr>
      <w:r w:rsidRPr="0072314F">
        <w:rPr>
          <w:rFonts w:ascii="Calibri" w:eastAsia="Times New Roman" w:hAnsi="Calibri" w:cs="Times New Roman"/>
          <w:color w:val="3C3C3C"/>
          <w:sz w:val="24"/>
          <w:szCs w:val="24"/>
          <w:bdr w:val="none" w:sz="0" w:space="0" w:color="auto" w:frame="1"/>
        </w:rPr>
        <w:t>On the basis of technology type, the Global Biosensors Market is segmented into thermal, electrochemical, piezoelectric, and optical.</w:t>
      </w:r>
    </w:p>
    <w:p w:rsidR="0072314F" w:rsidRPr="0072314F" w:rsidRDefault="0072314F" w:rsidP="0072314F">
      <w:pPr>
        <w:numPr>
          <w:ilvl w:val="0"/>
          <w:numId w:val="6"/>
        </w:numPr>
        <w:shd w:val="clear" w:color="auto" w:fill="FFFFFF"/>
        <w:spacing w:after="0" w:line="240" w:lineRule="auto"/>
        <w:ind w:left="450"/>
        <w:jc w:val="both"/>
        <w:rPr>
          <w:rFonts w:ascii="Open Sans" w:eastAsia="Times New Roman" w:hAnsi="Open Sans" w:cs="Times New Roman"/>
          <w:color w:val="3C3C3C"/>
          <w:sz w:val="21"/>
          <w:szCs w:val="21"/>
        </w:rPr>
      </w:pPr>
      <w:r w:rsidRPr="0072314F">
        <w:rPr>
          <w:rFonts w:ascii="Calibri" w:eastAsia="Times New Roman" w:hAnsi="Calibri" w:cs="Times New Roman"/>
          <w:color w:val="3C3C3C"/>
          <w:sz w:val="24"/>
          <w:szCs w:val="24"/>
          <w:bdr w:val="none" w:sz="0" w:space="0" w:color="auto" w:frame="1"/>
        </w:rPr>
        <w:t>On the basis of application, the target market is segmented into medical (pregnancy testing, cholesterol, blood glucose, drug discovery, and infectious disease) blood gas analyzer, environment, agriculture, food toxicity, and bioreactor.</w:t>
      </w:r>
    </w:p>
    <w:p w:rsidR="0072314F" w:rsidRPr="0072314F" w:rsidRDefault="0072314F" w:rsidP="0072314F">
      <w:pPr>
        <w:numPr>
          <w:ilvl w:val="0"/>
          <w:numId w:val="6"/>
        </w:numPr>
        <w:shd w:val="clear" w:color="auto" w:fill="FFFFFF"/>
        <w:spacing w:after="0" w:line="240" w:lineRule="auto"/>
        <w:ind w:left="450"/>
        <w:jc w:val="both"/>
        <w:rPr>
          <w:rFonts w:ascii="Open Sans" w:eastAsia="Times New Roman" w:hAnsi="Open Sans" w:cs="Times New Roman"/>
          <w:color w:val="3C3C3C"/>
          <w:sz w:val="21"/>
          <w:szCs w:val="21"/>
        </w:rPr>
      </w:pPr>
      <w:r w:rsidRPr="0072314F">
        <w:rPr>
          <w:rFonts w:ascii="Calibri" w:eastAsia="Times New Roman" w:hAnsi="Calibri" w:cs="Times New Roman"/>
          <w:color w:val="3C3C3C"/>
          <w:sz w:val="24"/>
          <w:szCs w:val="24"/>
          <w:bdr w:val="none" w:sz="0" w:space="0" w:color="auto" w:frame="1"/>
        </w:rPr>
        <w:t xml:space="preserve">On the basis of end-user, the target market divided into food industry, research laboratories, home healthcare diagnostics, </w:t>
      </w:r>
      <w:proofErr w:type="spellStart"/>
      <w:r w:rsidRPr="0072314F">
        <w:rPr>
          <w:rFonts w:ascii="Calibri" w:eastAsia="Times New Roman" w:hAnsi="Calibri" w:cs="Times New Roman"/>
          <w:color w:val="3C3C3C"/>
          <w:sz w:val="24"/>
          <w:szCs w:val="24"/>
          <w:bdr w:val="none" w:sz="0" w:space="0" w:color="auto" w:frame="1"/>
        </w:rPr>
        <w:t>PoC</w:t>
      </w:r>
      <w:proofErr w:type="spellEnd"/>
      <w:r w:rsidRPr="0072314F">
        <w:rPr>
          <w:rFonts w:ascii="Calibri" w:eastAsia="Times New Roman" w:hAnsi="Calibri" w:cs="Times New Roman"/>
          <w:color w:val="3C3C3C"/>
          <w:sz w:val="24"/>
          <w:szCs w:val="24"/>
          <w:bdr w:val="none" w:sz="0" w:space="0" w:color="auto" w:frame="1"/>
        </w:rPr>
        <w:t xml:space="preserve"> testing, and security &amp; bio-defense.</w:t>
      </w:r>
    </w:p>
    <w:p w:rsidR="0072314F" w:rsidRPr="0072314F" w:rsidRDefault="0072314F" w:rsidP="0072314F">
      <w:pPr>
        <w:numPr>
          <w:ilvl w:val="0"/>
          <w:numId w:val="6"/>
        </w:numPr>
        <w:shd w:val="clear" w:color="auto" w:fill="FFFFFF"/>
        <w:spacing w:after="0" w:line="240" w:lineRule="auto"/>
        <w:ind w:left="450"/>
        <w:jc w:val="both"/>
        <w:rPr>
          <w:rFonts w:ascii="Open Sans" w:eastAsia="Times New Roman" w:hAnsi="Open Sans" w:cs="Times New Roman"/>
          <w:color w:val="3C3C3C"/>
          <w:sz w:val="21"/>
          <w:szCs w:val="21"/>
        </w:rPr>
      </w:pPr>
      <w:r w:rsidRPr="0072314F">
        <w:rPr>
          <w:rFonts w:ascii="Calibri" w:eastAsia="Times New Roman" w:hAnsi="Calibri" w:cs="Times New Roman"/>
          <w:color w:val="3C3C3C"/>
          <w:sz w:val="24"/>
          <w:szCs w:val="24"/>
          <w:bdr w:val="none" w:sz="0" w:space="0" w:color="auto" w:frame="1"/>
          <w:shd w:val="clear" w:color="auto" w:fill="FFFFFF"/>
        </w:rPr>
        <w:t>Based on region the global orphan drugs market is segmented into North America, Europe, Asia Pacific, Latin America, and Middle East &amp; Africa. North America market dominates the global market in terms of revenue over the forecast period. This can be attributed to the high rate of adoption of the advanced technologies in the market studied.</w:t>
      </w:r>
    </w:p>
    <w:p w:rsidR="0072314F" w:rsidRDefault="0072314F" w:rsidP="0072314F">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b/>
          <w:bCs/>
          <w:color w:val="3C3C3C"/>
          <w:sz w:val="24"/>
          <w:szCs w:val="24"/>
          <w:bdr w:val="none" w:sz="0" w:space="0" w:color="auto" w:frame="1"/>
          <w:shd w:val="clear" w:color="auto" w:fill="FFFFFF"/>
        </w:rPr>
        <w:t>Competitive Landscape:</w:t>
      </w:r>
    </w:p>
    <w:p w:rsidR="0072314F" w:rsidRPr="0072314F" w:rsidRDefault="0072314F" w:rsidP="0072314F">
      <w:pPr>
        <w:shd w:val="clear" w:color="auto" w:fill="FFFFFF"/>
        <w:spacing w:after="0" w:line="240" w:lineRule="auto"/>
        <w:jc w:val="both"/>
        <w:rPr>
          <w:rFonts w:ascii="Open Sans" w:eastAsia="Times New Roman" w:hAnsi="Open Sans" w:cs="Times New Roman"/>
          <w:color w:val="3C3C3C"/>
          <w:sz w:val="23"/>
          <w:szCs w:val="23"/>
        </w:rPr>
      </w:pPr>
      <w:r w:rsidRPr="0072314F">
        <w:rPr>
          <w:rFonts w:ascii="Calibri" w:eastAsia="Times New Roman" w:hAnsi="Calibri" w:cs="Times New Roman"/>
          <w:color w:val="3C3C3C"/>
          <w:sz w:val="24"/>
          <w:szCs w:val="24"/>
          <w:bdr w:val="none" w:sz="0" w:space="0" w:color="auto" w:frame="1"/>
          <w:shd w:val="clear" w:color="auto" w:fill="FFFFFF"/>
        </w:rPr>
        <w:t xml:space="preserve">The key players operating the global Biosensors market involves F. Hoffman-La Roche Ltd., Universal Biosensors Inc., </w:t>
      </w:r>
      <w:proofErr w:type="spellStart"/>
      <w:r w:rsidRPr="0072314F">
        <w:rPr>
          <w:rFonts w:ascii="Calibri" w:eastAsia="Times New Roman" w:hAnsi="Calibri" w:cs="Times New Roman"/>
          <w:color w:val="3C3C3C"/>
          <w:sz w:val="24"/>
          <w:szCs w:val="24"/>
          <w:bdr w:val="none" w:sz="0" w:space="0" w:color="auto" w:frame="1"/>
          <w:shd w:val="clear" w:color="auto" w:fill="FFFFFF"/>
        </w:rPr>
        <w:t>LifeScan</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Inc., Abbott Point of Care Inc., </w:t>
      </w:r>
      <w:proofErr w:type="spellStart"/>
      <w:r w:rsidRPr="0072314F">
        <w:rPr>
          <w:rFonts w:ascii="Calibri" w:eastAsia="Times New Roman" w:hAnsi="Calibri" w:cs="Times New Roman"/>
          <w:color w:val="3C3C3C"/>
          <w:sz w:val="24"/>
          <w:szCs w:val="24"/>
          <w:bdr w:val="none" w:sz="0" w:space="0" w:color="auto" w:frame="1"/>
          <w:shd w:val="clear" w:color="auto" w:fill="FFFFFF"/>
        </w:rPr>
        <w:t>Sysmex</w:t>
      </w:r>
      <w:proofErr w:type="spellEnd"/>
      <w:r w:rsidRPr="0072314F">
        <w:rPr>
          <w:rFonts w:ascii="Calibri" w:eastAsia="Times New Roman" w:hAnsi="Calibri" w:cs="Times New Roman"/>
          <w:color w:val="3C3C3C"/>
          <w:sz w:val="24"/>
          <w:szCs w:val="24"/>
          <w:bdr w:val="none" w:sz="0" w:space="0" w:color="auto" w:frame="1"/>
          <w:shd w:val="clear" w:color="auto" w:fill="FFFFFF"/>
        </w:rPr>
        <w:t xml:space="preserve"> Corporation, </w:t>
      </w:r>
      <w:proofErr w:type="spellStart"/>
      <w:r w:rsidRPr="0072314F">
        <w:rPr>
          <w:rFonts w:ascii="Calibri" w:eastAsia="Times New Roman" w:hAnsi="Calibri" w:cs="Times New Roman"/>
          <w:color w:val="3C3C3C"/>
          <w:sz w:val="24"/>
          <w:szCs w:val="24"/>
          <w:bdr w:val="none" w:sz="0" w:space="0" w:color="auto" w:frame="1"/>
          <w:shd w:val="clear" w:color="auto" w:fill="FFFFFF"/>
        </w:rPr>
        <w:t>Pharmaco</w:t>
      </w:r>
      <w:proofErr w:type="spellEnd"/>
      <w:r w:rsidRPr="0072314F">
        <w:rPr>
          <w:rFonts w:ascii="Calibri" w:eastAsia="Times New Roman" w:hAnsi="Calibri" w:cs="Times New Roman"/>
          <w:color w:val="3C3C3C"/>
          <w:sz w:val="24"/>
          <w:szCs w:val="24"/>
          <w:bdr w:val="none" w:sz="0" w:space="0" w:color="auto" w:frame="1"/>
          <w:shd w:val="clear" w:color="auto" w:fill="FFFFFF"/>
        </w:rPr>
        <w:t>-Kinesis Corporation (PKC), Bio-Rad laboratories Inc., Biosensors International Pte. Ltd., ACON Laboratories, Inc., Nova Biomedical Corp. </w:t>
      </w:r>
    </w:p>
    <w:p w:rsidR="00277C02" w:rsidRDefault="00277C02" w:rsidP="0072314F"/>
    <w:p w:rsidR="0072314F" w:rsidRPr="0072314F" w:rsidRDefault="0072314F" w:rsidP="0072314F">
      <w:pPr>
        <w:rPr>
          <w:rFonts w:ascii="Calibri" w:eastAsia="Times New Roman" w:hAnsi="Calibri" w:cs="Times New Roman"/>
          <w:color w:val="0563C1"/>
          <w:u w:val="single"/>
        </w:rPr>
      </w:pPr>
      <w:r>
        <w:t xml:space="preserve">Other Topics: </w:t>
      </w:r>
      <w:hyperlink r:id="rId6" w:history="1">
        <w:r w:rsidRPr="0072314F">
          <w:rPr>
            <w:rFonts w:ascii="Calibri" w:eastAsia="Times New Roman" w:hAnsi="Calibri" w:cs="Times New Roman"/>
            <w:color w:val="0563C1"/>
            <w:u w:val="single"/>
          </w:rPr>
          <w:t>https://www.digitaljournal.com/pr/citric-acid-market-size-shares-and-analysis-trends-with-top-most-key-players-archer-daniels-midland-company-cargill-inc-tate-lyle-plc</w:t>
        </w:r>
      </w:hyperlink>
    </w:p>
    <w:p w:rsidR="0072314F" w:rsidRPr="0072314F" w:rsidRDefault="0072314F" w:rsidP="0072314F">
      <w:pPr>
        <w:spacing w:after="0" w:line="240" w:lineRule="auto"/>
        <w:rPr>
          <w:rFonts w:ascii="Calibri" w:eastAsia="Times New Roman" w:hAnsi="Calibri" w:cs="Times New Roman"/>
          <w:color w:val="0563C1"/>
          <w:u w:val="single"/>
        </w:rPr>
      </w:pPr>
      <w:hyperlink r:id="rId7" w:history="1">
        <w:r w:rsidRPr="0072314F">
          <w:rPr>
            <w:rFonts w:ascii="Calibri" w:eastAsia="Times New Roman" w:hAnsi="Calibri" w:cs="Times New Roman"/>
            <w:color w:val="0563C1"/>
            <w:u w:val="single"/>
          </w:rPr>
          <w:t>https://www.digitaljournal.com/pr/zero-liquid-discharge-market-size-shares-and-analysis-trends-with-top-most-key-players-aquatech-international-veolia-gea-group-aktiengesellschaft</w:t>
        </w:r>
      </w:hyperlink>
    </w:p>
    <w:p w:rsidR="0072314F" w:rsidRPr="0072314F" w:rsidRDefault="0072314F" w:rsidP="0072314F"/>
    <w:sectPr w:rsidR="0072314F" w:rsidRPr="0072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07A"/>
    <w:multiLevelType w:val="multilevel"/>
    <w:tmpl w:val="974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74022"/>
    <w:multiLevelType w:val="multilevel"/>
    <w:tmpl w:val="3CF2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2267F"/>
    <w:multiLevelType w:val="multilevel"/>
    <w:tmpl w:val="FE3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42A18"/>
    <w:multiLevelType w:val="multilevel"/>
    <w:tmpl w:val="4FE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10108"/>
    <w:multiLevelType w:val="multilevel"/>
    <w:tmpl w:val="6D3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281480"/>
    <w:multiLevelType w:val="multilevel"/>
    <w:tmpl w:val="5FE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FE"/>
    <w:rsid w:val="00277C02"/>
    <w:rsid w:val="00326769"/>
    <w:rsid w:val="004237D3"/>
    <w:rsid w:val="0072314F"/>
    <w:rsid w:val="008E4EF8"/>
    <w:rsid w:val="00A308FE"/>
    <w:rsid w:val="00CD691D"/>
    <w:rsid w:val="00F8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924BE-ECED-4BC6-97F8-77407AFF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3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8FE"/>
    <w:rPr>
      <w:b/>
      <w:bCs/>
    </w:rPr>
  </w:style>
  <w:style w:type="character" w:styleId="Emphasis">
    <w:name w:val="Emphasis"/>
    <w:basedOn w:val="DefaultParagraphFont"/>
    <w:uiPriority w:val="20"/>
    <w:qFormat/>
    <w:rsid w:val="00A308FE"/>
    <w:rPr>
      <w:i/>
      <w:iCs/>
    </w:rPr>
  </w:style>
  <w:style w:type="character" w:styleId="Hyperlink">
    <w:name w:val="Hyperlink"/>
    <w:basedOn w:val="DefaultParagraphFont"/>
    <w:uiPriority w:val="99"/>
    <w:semiHidden/>
    <w:unhideWhenUsed/>
    <w:rsid w:val="00A308FE"/>
    <w:rPr>
      <w:color w:val="0000FF"/>
      <w:u w:val="single"/>
    </w:rPr>
  </w:style>
  <w:style w:type="character" w:customStyle="1" w:styleId="Heading2Char">
    <w:name w:val="Heading 2 Char"/>
    <w:basedOn w:val="DefaultParagraphFont"/>
    <w:link w:val="Heading2"/>
    <w:uiPriority w:val="9"/>
    <w:rsid w:val="004237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7355">
      <w:bodyDiv w:val="1"/>
      <w:marLeft w:val="0"/>
      <w:marRight w:val="0"/>
      <w:marTop w:val="0"/>
      <w:marBottom w:val="0"/>
      <w:divBdr>
        <w:top w:val="none" w:sz="0" w:space="0" w:color="auto"/>
        <w:left w:val="none" w:sz="0" w:space="0" w:color="auto"/>
        <w:bottom w:val="none" w:sz="0" w:space="0" w:color="auto"/>
        <w:right w:val="none" w:sz="0" w:space="0" w:color="auto"/>
      </w:divBdr>
    </w:div>
    <w:div w:id="203323888">
      <w:bodyDiv w:val="1"/>
      <w:marLeft w:val="0"/>
      <w:marRight w:val="0"/>
      <w:marTop w:val="0"/>
      <w:marBottom w:val="0"/>
      <w:divBdr>
        <w:top w:val="none" w:sz="0" w:space="0" w:color="auto"/>
        <w:left w:val="none" w:sz="0" w:space="0" w:color="auto"/>
        <w:bottom w:val="none" w:sz="0" w:space="0" w:color="auto"/>
        <w:right w:val="none" w:sz="0" w:space="0" w:color="auto"/>
      </w:divBdr>
    </w:div>
    <w:div w:id="400179524">
      <w:bodyDiv w:val="1"/>
      <w:marLeft w:val="0"/>
      <w:marRight w:val="0"/>
      <w:marTop w:val="0"/>
      <w:marBottom w:val="0"/>
      <w:divBdr>
        <w:top w:val="none" w:sz="0" w:space="0" w:color="auto"/>
        <w:left w:val="none" w:sz="0" w:space="0" w:color="auto"/>
        <w:bottom w:val="none" w:sz="0" w:space="0" w:color="auto"/>
        <w:right w:val="none" w:sz="0" w:space="0" w:color="auto"/>
      </w:divBdr>
    </w:div>
    <w:div w:id="536625918">
      <w:bodyDiv w:val="1"/>
      <w:marLeft w:val="0"/>
      <w:marRight w:val="0"/>
      <w:marTop w:val="0"/>
      <w:marBottom w:val="0"/>
      <w:divBdr>
        <w:top w:val="none" w:sz="0" w:space="0" w:color="auto"/>
        <w:left w:val="none" w:sz="0" w:space="0" w:color="auto"/>
        <w:bottom w:val="none" w:sz="0" w:space="0" w:color="auto"/>
        <w:right w:val="none" w:sz="0" w:space="0" w:color="auto"/>
      </w:divBdr>
    </w:div>
    <w:div w:id="855778049">
      <w:bodyDiv w:val="1"/>
      <w:marLeft w:val="0"/>
      <w:marRight w:val="0"/>
      <w:marTop w:val="0"/>
      <w:marBottom w:val="0"/>
      <w:divBdr>
        <w:top w:val="none" w:sz="0" w:space="0" w:color="auto"/>
        <w:left w:val="none" w:sz="0" w:space="0" w:color="auto"/>
        <w:bottom w:val="none" w:sz="0" w:space="0" w:color="auto"/>
        <w:right w:val="none" w:sz="0" w:space="0" w:color="auto"/>
      </w:divBdr>
    </w:div>
    <w:div w:id="914977475">
      <w:bodyDiv w:val="1"/>
      <w:marLeft w:val="0"/>
      <w:marRight w:val="0"/>
      <w:marTop w:val="0"/>
      <w:marBottom w:val="0"/>
      <w:divBdr>
        <w:top w:val="none" w:sz="0" w:space="0" w:color="auto"/>
        <w:left w:val="none" w:sz="0" w:space="0" w:color="auto"/>
        <w:bottom w:val="none" w:sz="0" w:space="0" w:color="auto"/>
        <w:right w:val="none" w:sz="0" w:space="0" w:color="auto"/>
      </w:divBdr>
    </w:div>
    <w:div w:id="1528178980">
      <w:bodyDiv w:val="1"/>
      <w:marLeft w:val="0"/>
      <w:marRight w:val="0"/>
      <w:marTop w:val="0"/>
      <w:marBottom w:val="0"/>
      <w:divBdr>
        <w:top w:val="none" w:sz="0" w:space="0" w:color="auto"/>
        <w:left w:val="none" w:sz="0" w:space="0" w:color="auto"/>
        <w:bottom w:val="none" w:sz="0" w:space="0" w:color="auto"/>
        <w:right w:val="none" w:sz="0" w:space="0" w:color="auto"/>
      </w:divBdr>
    </w:div>
    <w:div w:id="1871607041">
      <w:bodyDiv w:val="1"/>
      <w:marLeft w:val="0"/>
      <w:marRight w:val="0"/>
      <w:marTop w:val="0"/>
      <w:marBottom w:val="0"/>
      <w:divBdr>
        <w:top w:val="none" w:sz="0" w:space="0" w:color="auto"/>
        <w:left w:val="none" w:sz="0" w:space="0" w:color="auto"/>
        <w:bottom w:val="none" w:sz="0" w:space="0" w:color="auto"/>
        <w:right w:val="none" w:sz="0" w:space="0" w:color="auto"/>
      </w:divBdr>
    </w:div>
    <w:div w:id="212981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zero-liquid-discharge-market-size-shares-and-analysis-trends-with-top-most-key-players-aquatech-international-veolia-gea-group-aktiengesellscha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citric-acid-market-size-shares-and-analysis-trends-with-top-most-key-players-archer-daniels-midland-company-cargill-inc-tate-lyle-plc" TargetMode="External"/><Relationship Id="rId5" Type="http://schemas.openxmlformats.org/officeDocument/2006/relationships/hyperlink" Target="https://www.prophecymarketinsights.com/market_insight/Global-Biosensors-Market-By-Technology-37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2022-08-26T10:01:00Z</dcterms:created>
  <dcterms:modified xsi:type="dcterms:W3CDTF">2022-08-26T10:01:00Z</dcterms:modified>
</cp:coreProperties>
</file>