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447" w:rsidRDefault="00550447" w:rsidP="00550447">
      <w:pPr>
        <w:shd w:val="clear" w:color="auto" w:fill="FFFFFF"/>
        <w:spacing w:after="0" w:line="240" w:lineRule="auto"/>
        <w:jc w:val="both"/>
        <w:rPr>
          <w:rFonts w:ascii="Open Sans" w:eastAsia="Times New Roman" w:hAnsi="Open Sans" w:cs="Open Sans"/>
          <w:color w:val="3C3C3C"/>
          <w:sz w:val="23"/>
          <w:szCs w:val="23"/>
        </w:rPr>
      </w:pPr>
      <w:r w:rsidRPr="00550447">
        <w:rPr>
          <w:rFonts w:ascii="Open Sans" w:eastAsia="Times New Roman" w:hAnsi="Open Sans" w:cs="Open Sans"/>
          <w:color w:val="3C3C3C"/>
          <w:sz w:val="23"/>
          <w:szCs w:val="23"/>
        </w:rPr>
        <w:t>The report </w:t>
      </w:r>
      <w:r w:rsidRPr="00550447">
        <w:rPr>
          <w:rFonts w:ascii="Open Sans" w:eastAsia="Times New Roman" w:hAnsi="Open Sans" w:cs="Open Sans"/>
          <w:b/>
          <w:bCs/>
          <w:color w:val="3C3C3C"/>
          <w:sz w:val="23"/>
          <w:szCs w:val="23"/>
          <w:bdr w:val="none" w:sz="0" w:space="0" w:color="auto" w:frame="1"/>
        </w:rPr>
        <w:t xml:space="preserve">"Global </w:t>
      </w:r>
      <w:bookmarkStart w:id="0" w:name="_GoBack"/>
      <w:r w:rsidRPr="00550447">
        <w:rPr>
          <w:rFonts w:ascii="Open Sans" w:eastAsia="Times New Roman" w:hAnsi="Open Sans" w:cs="Open Sans"/>
          <w:b/>
          <w:bCs/>
          <w:color w:val="3C3C3C"/>
          <w:sz w:val="23"/>
          <w:szCs w:val="23"/>
          <w:bdr w:val="none" w:sz="0" w:space="0" w:color="auto" w:frame="1"/>
        </w:rPr>
        <w:t>Brain Implants Market</w:t>
      </w:r>
      <w:bookmarkEnd w:id="0"/>
      <w:r w:rsidRPr="00550447">
        <w:rPr>
          <w:rFonts w:ascii="Open Sans" w:eastAsia="Times New Roman" w:hAnsi="Open Sans" w:cs="Open Sans"/>
          <w:b/>
          <w:bCs/>
          <w:color w:val="3C3C3C"/>
          <w:sz w:val="23"/>
          <w:szCs w:val="23"/>
          <w:bdr w:val="none" w:sz="0" w:space="0" w:color="auto" w:frame="1"/>
        </w:rPr>
        <w:t>, By Product Type (Deep Brain Stimulator, Spinal Cord Stimulator, and Others), By Application (Chronic Pain, Epilepsy, Parkinson’s Disease, and Others), and Region - Global Forecast to 2029" </w:t>
      </w:r>
      <w:r w:rsidRPr="00550447">
        <w:rPr>
          <w:rFonts w:ascii="Open Sans" w:eastAsia="Times New Roman" w:hAnsi="Open Sans" w:cs="Open Sans"/>
          <w:color w:val="3C3C3C"/>
          <w:sz w:val="23"/>
          <w:szCs w:val="23"/>
        </w:rPr>
        <w:t>Global brain implants market is projected to grow from US$ 4.7 billion in 2020 to US$ 13.3 billion by 2029. Factor driving the growth of the global brain implants market is increase in number of neurological disorders including Parkinson’s and Alzheimer’s diseases, depression, epilepsy, and essential tremor among all age groups across the globe. Also, rising investment from the government authorities and various healthcare organizations in emerging countries to improve overall healthcare infrastructure is propelling the target market growth. Furthermore, increasing awareness along with reduction in the cost of manufacturing of brain implants by new developments are some opportunities for the players to increase target market. Moreover, factors like technological advancements in brain implants, along with rising disposable income in developed and developing countries, are boosting the growth of the target market.</w:t>
      </w:r>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r w:rsidRPr="00550447">
        <w:rPr>
          <w:rFonts w:ascii="Open Sans" w:eastAsia="Times New Roman" w:hAnsi="Open Sans" w:cs="Open Sans"/>
          <w:b/>
          <w:bCs/>
          <w:color w:val="3C3C3C"/>
          <w:sz w:val="23"/>
          <w:szCs w:val="23"/>
          <w:bdr w:val="none" w:sz="0" w:space="0" w:color="auto" w:frame="1"/>
        </w:rPr>
        <w:t>Key Highlights:</w:t>
      </w:r>
    </w:p>
    <w:p w:rsidR="00550447" w:rsidRPr="00550447" w:rsidRDefault="00550447" w:rsidP="00550447">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550447">
        <w:rPr>
          <w:rFonts w:ascii="Open Sans" w:eastAsia="Times New Roman" w:hAnsi="Open Sans" w:cs="Open Sans"/>
          <w:color w:val="3C3C3C"/>
          <w:sz w:val="21"/>
          <w:szCs w:val="21"/>
        </w:rPr>
        <w:t xml:space="preserve">In 2016, </w:t>
      </w:r>
      <w:proofErr w:type="spellStart"/>
      <w:r w:rsidRPr="00550447">
        <w:rPr>
          <w:rFonts w:ascii="Open Sans" w:eastAsia="Times New Roman" w:hAnsi="Open Sans" w:cs="Open Sans"/>
          <w:color w:val="3C3C3C"/>
          <w:sz w:val="21"/>
          <w:szCs w:val="21"/>
        </w:rPr>
        <w:t>Aleva</w:t>
      </w:r>
      <w:proofErr w:type="spellEnd"/>
      <w:r w:rsidRPr="00550447">
        <w:rPr>
          <w:rFonts w:ascii="Open Sans" w:eastAsia="Times New Roman" w:hAnsi="Open Sans" w:cs="Open Sans"/>
          <w:color w:val="3C3C3C"/>
          <w:sz w:val="21"/>
          <w:szCs w:val="21"/>
        </w:rPr>
        <w:t xml:space="preserve"> </w:t>
      </w:r>
      <w:proofErr w:type="spellStart"/>
      <w:r w:rsidRPr="00550447">
        <w:rPr>
          <w:rFonts w:ascii="Open Sans" w:eastAsia="Times New Roman" w:hAnsi="Open Sans" w:cs="Open Sans"/>
          <w:color w:val="3C3C3C"/>
          <w:sz w:val="21"/>
          <w:szCs w:val="21"/>
        </w:rPr>
        <w:t>Neurotherapeutics</w:t>
      </w:r>
      <w:proofErr w:type="spellEnd"/>
      <w:r w:rsidRPr="00550447">
        <w:rPr>
          <w:rFonts w:ascii="Open Sans" w:eastAsia="Times New Roman" w:hAnsi="Open Sans" w:cs="Open Sans"/>
          <w:color w:val="3C3C3C"/>
          <w:sz w:val="21"/>
          <w:szCs w:val="21"/>
        </w:rPr>
        <w:t xml:space="preserve"> and </w:t>
      </w:r>
      <w:proofErr w:type="spellStart"/>
      <w:r w:rsidRPr="00550447">
        <w:rPr>
          <w:rFonts w:ascii="Open Sans" w:eastAsia="Times New Roman" w:hAnsi="Open Sans" w:cs="Open Sans"/>
          <w:color w:val="3C3C3C"/>
          <w:sz w:val="21"/>
          <w:szCs w:val="21"/>
        </w:rPr>
        <w:t>Greatbatch</w:t>
      </w:r>
      <w:proofErr w:type="spellEnd"/>
      <w:r w:rsidRPr="00550447">
        <w:rPr>
          <w:rFonts w:ascii="Open Sans" w:eastAsia="Times New Roman" w:hAnsi="Open Sans" w:cs="Open Sans"/>
          <w:color w:val="3C3C3C"/>
          <w:sz w:val="21"/>
          <w:szCs w:val="21"/>
        </w:rPr>
        <w:t>, Inc. for Deep Brain Stimulation collaborated on Next Generation Device.</w:t>
      </w:r>
    </w:p>
    <w:p w:rsidR="00550447" w:rsidRDefault="00550447" w:rsidP="00550447">
      <w:pPr>
        <w:shd w:val="clear" w:color="auto" w:fill="FFFFFF"/>
        <w:spacing w:after="0" w:line="240" w:lineRule="auto"/>
        <w:jc w:val="both"/>
        <w:rPr>
          <w:rFonts w:ascii="Open Sans" w:eastAsia="Times New Roman" w:hAnsi="Open Sans" w:cs="Open Sans"/>
          <w:b/>
          <w:bCs/>
          <w:color w:val="3C3C3C"/>
          <w:sz w:val="23"/>
          <w:szCs w:val="23"/>
          <w:bdr w:val="none" w:sz="0" w:space="0" w:color="auto" w:frame="1"/>
        </w:rPr>
      </w:pPr>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r w:rsidRPr="00550447">
        <w:rPr>
          <w:rFonts w:ascii="Open Sans" w:eastAsia="Times New Roman" w:hAnsi="Open Sans" w:cs="Open Sans"/>
          <w:b/>
          <w:bCs/>
          <w:color w:val="3C3C3C"/>
          <w:sz w:val="23"/>
          <w:szCs w:val="23"/>
          <w:bdr w:val="none" w:sz="0" w:space="0" w:color="auto" w:frame="1"/>
        </w:rPr>
        <w:t>Key Market Insights from the report:          </w:t>
      </w:r>
    </w:p>
    <w:p w:rsidR="00550447" w:rsidRPr="00550447" w:rsidRDefault="00550447" w:rsidP="00550447">
      <w:pPr>
        <w:shd w:val="clear" w:color="auto" w:fill="FFFFFF"/>
        <w:spacing w:after="225" w:line="240" w:lineRule="auto"/>
        <w:jc w:val="both"/>
        <w:rPr>
          <w:rFonts w:ascii="Open Sans" w:eastAsia="Times New Roman" w:hAnsi="Open Sans" w:cs="Open Sans"/>
          <w:color w:val="3C3C3C"/>
          <w:sz w:val="23"/>
          <w:szCs w:val="23"/>
        </w:rPr>
      </w:pPr>
      <w:r w:rsidRPr="00550447">
        <w:rPr>
          <w:rFonts w:ascii="Open Sans" w:eastAsia="Times New Roman" w:hAnsi="Open Sans" w:cs="Open Sans"/>
          <w:color w:val="3C3C3C"/>
          <w:sz w:val="23"/>
          <w:szCs w:val="23"/>
        </w:rPr>
        <w:t>The global brain implants market accounted for US$ 4.7 billion in 2020 and is projected to register a moderate CAGR of 12.4 % over the forecast period. The market report can be segmented on the basis of product type, application, and region.</w:t>
      </w:r>
    </w:p>
    <w:p w:rsidR="00550447" w:rsidRPr="00550447" w:rsidRDefault="00550447" w:rsidP="0055044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550447">
        <w:rPr>
          <w:rFonts w:ascii="Open Sans" w:eastAsia="Times New Roman" w:hAnsi="Open Sans" w:cs="Open Sans"/>
          <w:color w:val="3C3C3C"/>
          <w:sz w:val="21"/>
          <w:szCs w:val="21"/>
        </w:rPr>
        <w:t xml:space="preserve">By product type, the global brain implants market is segmented into deep brain stimulator, spinal cord stimulator and </w:t>
      </w:r>
      <w:proofErr w:type="spellStart"/>
      <w:r w:rsidRPr="00550447">
        <w:rPr>
          <w:rFonts w:ascii="Open Sans" w:eastAsia="Times New Roman" w:hAnsi="Open Sans" w:cs="Open Sans"/>
          <w:color w:val="3C3C3C"/>
          <w:sz w:val="21"/>
          <w:szCs w:val="21"/>
        </w:rPr>
        <w:t>vagus</w:t>
      </w:r>
      <w:proofErr w:type="spellEnd"/>
      <w:r w:rsidRPr="00550447">
        <w:rPr>
          <w:rFonts w:ascii="Open Sans" w:eastAsia="Times New Roman" w:hAnsi="Open Sans" w:cs="Open Sans"/>
          <w:color w:val="3C3C3C"/>
          <w:sz w:val="21"/>
          <w:szCs w:val="21"/>
        </w:rPr>
        <w:t xml:space="preserve"> nerve stimulators. The deep brain stimulator segment is anticipated to have largest market over the forecast period, owning to increase in the incidences of Parkinson’s disease and the potential benefits of brain implants like long-term efficacy and better management of post-operative outcomes. The </w:t>
      </w:r>
      <w:proofErr w:type="spellStart"/>
      <w:r w:rsidRPr="00550447">
        <w:rPr>
          <w:rFonts w:ascii="Open Sans" w:eastAsia="Times New Roman" w:hAnsi="Open Sans" w:cs="Open Sans"/>
          <w:color w:val="3C3C3C"/>
          <w:sz w:val="21"/>
          <w:szCs w:val="21"/>
        </w:rPr>
        <w:t>vagus</w:t>
      </w:r>
      <w:proofErr w:type="spellEnd"/>
      <w:r w:rsidRPr="00550447">
        <w:rPr>
          <w:rFonts w:ascii="Open Sans" w:eastAsia="Times New Roman" w:hAnsi="Open Sans" w:cs="Open Sans"/>
          <w:color w:val="3C3C3C"/>
          <w:sz w:val="21"/>
          <w:szCs w:val="21"/>
        </w:rPr>
        <w:t xml:space="preserve"> nerve stimulators segment is expected to register the fastest growth in terms of revenue in the upcoming years, due to rise in incidences of epilepsy.</w:t>
      </w:r>
    </w:p>
    <w:p w:rsidR="00550447" w:rsidRPr="00550447" w:rsidRDefault="00550447" w:rsidP="0055044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550447">
        <w:rPr>
          <w:rFonts w:ascii="Open Sans" w:eastAsia="Times New Roman" w:hAnsi="Open Sans" w:cs="Open Sans"/>
          <w:color w:val="3C3C3C"/>
          <w:sz w:val="21"/>
          <w:szCs w:val="21"/>
        </w:rPr>
        <w:t>By application, the global brain implants market is categorized into chronic pain, epilepsy, Parkinson’s disease, and others. The Parkinson’s disease segment is expected to have fastest growth rate in terms of revenue over the forecast period due to factors including drop in smoking rate and coffee consumption, especially in developed countries.</w:t>
      </w:r>
    </w:p>
    <w:p w:rsidR="00550447" w:rsidRPr="00550447" w:rsidRDefault="00550447" w:rsidP="00550447">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550447">
        <w:rPr>
          <w:rFonts w:ascii="Open Sans" w:eastAsia="Times New Roman" w:hAnsi="Open Sans" w:cs="Open Sans"/>
          <w:color w:val="3C3C3C"/>
          <w:sz w:val="21"/>
          <w:szCs w:val="21"/>
        </w:rPr>
        <w:t xml:space="preserve">By region, the market in North America is dominating the global brain implants market in terms of revenue and is expected to continue its dominance in the upcoming years. Due to increase in number of several neurological disorders such as Parkinson’s disease, epilepsy, Alzheimer’s disease, and others, increase in market in terms of revenue </w:t>
      </w:r>
      <w:proofErr w:type="spellStart"/>
      <w:r w:rsidRPr="00550447">
        <w:rPr>
          <w:rFonts w:ascii="Open Sans" w:eastAsia="Times New Roman" w:hAnsi="Open Sans" w:cs="Open Sans"/>
          <w:color w:val="3C3C3C"/>
          <w:sz w:val="21"/>
          <w:szCs w:val="21"/>
        </w:rPr>
        <w:t>revenue</w:t>
      </w:r>
      <w:proofErr w:type="spellEnd"/>
      <w:r w:rsidRPr="00550447">
        <w:rPr>
          <w:rFonts w:ascii="Open Sans" w:eastAsia="Times New Roman" w:hAnsi="Open Sans" w:cs="Open Sans"/>
          <w:color w:val="3C3C3C"/>
          <w:sz w:val="21"/>
          <w:szCs w:val="21"/>
        </w:rPr>
        <w:t xml:space="preserve"> in this region is anticipated to increase during the forecast period.</w:t>
      </w:r>
    </w:p>
    <w:p w:rsidR="00550447" w:rsidRDefault="00550447" w:rsidP="00550447">
      <w:pPr>
        <w:shd w:val="clear" w:color="auto" w:fill="FFFFFF"/>
        <w:spacing w:after="0" w:line="240" w:lineRule="auto"/>
        <w:jc w:val="both"/>
        <w:rPr>
          <w:rFonts w:ascii="Open Sans" w:eastAsia="Times New Roman" w:hAnsi="Open Sans" w:cs="Open Sans"/>
          <w:i/>
          <w:iCs/>
          <w:color w:val="80819F"/>
          <w:sz w:val="23"/>
          <w:szCs w:val="23"/>
          <w:bdr w:val="none" w:sz="0" w:space="0" w:color="auto" w:frame="1"/>
        </w:rPr>
      </w:pPr>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r w:rsidRPr="00550447">
        <w:rPr>
          <w:rFonts w:ascii="Open Sans" w:eastAsia="Times New Roman" w:hAnsi="Open Sans" w:cs="Open Sans"/>
          <w:i/>
          <w:iCs/>
          <w:color w:val="80819F"/>
          <w:sz w:val="23"/>
          <w:szCs w:val="23"/>
          <w:bdr w:val="none" w:sz="0" w:space="0" w:color="auto" w:frame="1"/>
        </w:rPr>
        <w:t>Browse 60 market data tables* and 35 figures* through 140 slides and in-depth TOC on "</w:t>
      </w:r>
      <w:r w:rsidRPr="00550447">
        <w:rPr>
          <w:rFonts w:ascii="Open Sans" w:eastAsia="Times New Roman" w:hAnsi="Open Sans" w:cs="Open Sans"/>
          <w:color w:val="3C3C3C"/>
          <w:sz w:val="23"/>
          <w:szCs w:val="23"/>
        </w:rPr>
        <w:t> </w:t>
      </w:r>
      <w:r w:rsidRPr="00550447">
        <w:rPr>
          <w:rFonts w:ascii="Open Sans" w:eastAsia="Times New Roman" w:hAnsi="Open Sans" w:cs="Open Sans"/>
          <w:i/>
          <w:iCs/>
          <w:color w:val="80819F"/>
          <w:sz w:val="23"/>
          <w:szCs w:val="23"/>
          <w:bdr w:val="none" w:sz="0" w:space="0" w:color="auto" w:frame="1"/>
        </w:rPr>
        <w:t>Global Brain Implants Market, By Product Type (Deep Brain Stimulator, Spinal Cord Stimulator, and Others), By Application (Chronic Pain, Epilepsy, Parkinson’s Disease, and Others), and by Region (North America, Europe, Asia-Pacific, Latin America, and Middle East &amp; Africa)- forecast till 2029</w:t>
      </w:r>
    </w:p>
    <w:p w:rsidR="00550447" w:rsidRDefault="00550447" w:rsidP="00550447">
      <w:pPr>
        <w:shd w:val="clear" w:color="auto" w:fill="FFFFFF"/>
        <w:spacing w:after="0" w:line="240" w:lineRule="auto"/>
        <w:jc w:val="both"/>
        <w:rPr>
          <w:rFonts w:ascii="Open Sans" w:eastAsia="Times New Roman" w:hAnsi="Open Sans" w:cs="Open Sans"/>
          <w:b/>
          <w:bCs/>
          <w:i/>
          <w:iCs/>
          <w:color w:val="80819F"/>
          <w:sz w:val="23"/>
          <w:szCs w:val="23"/>
          <w:bdr w:val="none" w:sz="0" w:space="0" w:color="auto" w:frame="1"/>
        </w:rPr>
      </w:pPr>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r w:rsidRPr="00550447">
        <w:rPr>
          <w:rFonts w:ascii="Open Sans" w:eastAsia="Times New Roman" w:hAnsi="Open Sans" w:cs="Open Sans"/>
          <w:b/>
          <w:bCs/>
          <w:i/>
          <w:iCs/>
          <w:color w:val="80819F"/>
          <w:sz w:val="23"/>
          <w:szCs w:val="23"/>
          <w:bdr w:val="none" w:sz="0" w:space="0" w:color="auto" w:frame="1"/>
        </w:rPr>
        <w:t>To know the upcoming trends and insights prevalent in this market, click the link below: </w:t>
      </w:r>
    </w:p>
    <w:p w:rsidR="00550447" w:rsidRDefault="00550447" w:rsidP="00550447">
      <w:pPr>
        <w:shd w:val="clear" w:color="auto" w:fill="FFFFFF"/>
        <w:spacing w:after="0" w:line="240" w:lineRule="auto"/>
        <w:jc w:val="both"/>
        <w:rPr>
          <w:rFonts w:ascii="Open Sans" w:eastAsia="Times New Roman" w:hAnsi="Open Sans" w:cs="Open Sans"/>
          <w:b/>
          <w:bCs/>
          <w:i/>
          <w:iCs/>
          <w:color w:val="80819F"/>
          <w:sz w:val="23"/>
          <w:szCs w:val="23"/>
          <w:bdr w:val="none" w:sz="0" w:space="0" w:color="auto" w:frame="1"/>
        </w:rPr>
      </w:pPr>
    </w:p>
    <w:p w:rsidR="00550447" w:rsidRDefault="00550447" w:rsidP="00550447">
      <w:pPr>
        <w:shd w:val="clear" w:color="auto" w:fill="FFFFFF"/>
        <w:spacing w:after="0" w:line="240" w:lineRule="auto"/>
        <w:jc w:val="both"/>
        <w:rPr>
          <w:rFonts w:ascii="Open Sans" w:eastAsia="Times New Roman" w:hAnsi="Open Sans" w:cs="Open Sans"/>
          <w:b/>
          <w:bCs/>
          <w:i/>
          <w:iCs/>
          <w:color w:val="80819F"/>
          <w:sz w:val="23"/>
          <w:szCs w:val="23"/>
          <w:bdr w:val="none" w:sz="0" w:space="0" w:color="auto" w:frame="1"/>
        </w:rPr>
      </w:pPr>
      <w:hyperlink r:id="rId5" w:history="1">
        <w:r w:rsidRPr="00550447">
          <w:rPr>
            <w:rFonts w:ascii="Open Sans" w:eastAsia="Times New Roman" w:hAnsi="Open Sans" w:cs="Open Sans"/>
            <w:b/>
            <w:bCs/>
            <w:i/>
            <w:iCs/>
            <w:color w:val="80819F"/>
            <w:sz w:val="23"/>
            <w:szCs w:val="23"/>
            <w:bdr w:val="none" w:sz="0" w:space="0" w:color="auto" w:frame="1"/>
            <w:shd w:val="clear" w:color="auto" w:fill="F5F5F5"/>
          </w:rPr>
          <w:t>https://prophecymarketinsights.com/market_insight/Global-Brain-Implants-Market-By-1020</w:t>
        </w:r>
      </w:hyperlink>
    </w:p>
    <w:p w:rsidR="00550447" w:rsidRPr="00550447" w:rsidRDefault="00550447" w:rsidP="00550447">
      <w:pPr>
        <w:shd w:val="clear" w:color="auto" w:fill="FFFFFF"/>
        <w:spacing w:after="0" w:line="240" w:lineRule="auto"/>
        <w:jc w:val="both"/>
        <w:rPr>
          <w:rFonts w:ascii="Open Sans" w:eastAsia="Times New Roman" w:hAnsi="Open Sans" w:cs="Open Sans"/>
          <w:color w:val="3C3C3C"/>
          <w:sz w:val="23"/>
          <w:szCs w:val="23"/>
        </w:rPr>
      </w:pPr>
    </w:p>
    <w:p w:rsidR="00550447" w:rsidRPr="00550447" w:rsidRDefault="00550447" w:rsidP="00550447">
      <w:pPr>
        <w:shd w:val="clear" w:color="auto" w:fill="FFFFFF"/>
        <w:spacing w:after="225" w:line="240" w:lineRule="auto"/>
        <w:jc w:val="both"/>
        <w:rPr>
          <w:rFonts w:ascii="Open Sans" w:eastAsia="Times New Roman" w:hAnsi="Open Sans" w:cs="Open Sans"/>
          <w:color w:val="3C3C3C"/>
          <w:sz w:val="23"/>
          <w:szCs w:val="23"/>
        </w:rPr>
      </w:pPr>
      <w:r w:rsidRPr="00550447">
        <w:rPr>
          <w:rFonts w:ascii="Open Sans" w:eastAsia="Times New Roman" w:hAnsi="Open Sans" w:cs="Open Sans"/>
          <w:color w:val="3C3C3C"/>
          <w:sz w:val="23"/>
          <w:szCs w:val="23"/>
        </w:rPr>
        <w:t xml:space="preserve">The prominent player operating in the global brain implants market includes Abbott Laboratories, Boston Scientific Corporation, Medtronic, Plc., </w:t>
      </w:r>
      <w:proofErr w:type="spellStart"/>
      <w:r w:rsidRPr="00550447">
        <w:rPr>
          <w:rFonts w:ascii="Open Sans" w:eastAsia="Times New Roman" w:hAnsi="Open Sans" w:cs="Open Sans"/>
          <w:color w:val="3C3C3C"/>
          <w:sz w:val="23"/>
          <w:szCs w:val="23"/>
        </w:rPr>
        <w:t>Nevro</w:t>
      </w:r>
      <w:proofErr w:type="spellEnd"/>
      <w:r w:rsidRPr="00550447">
        <w:rPr>
          <w:rFonts w:ascii="Open Sans" w:eastAsia="Times New Roman" w:hAnsi="Open Sans" w:cs="Open Sans"/>
          <w:color w:val="3C3C3C"/>
          <w:sz w:val="23"/>
          <w:szCs w:val="23"/>
        </w:rPr>
        <w:t xml:space="preserve"> Corp., </w:t>
      </w:r>
      <w:proofErr w:type="spellStart"/>
      <w:r w:rsidRPr="00550447">
        <w:rPr>
          <w:rFonts w:ascii="Open Sans" w:eastAsia="Times New Roman" w:hAnsi="Open Sans" w:cs="Open Sans"/>
          <w:color w:val="3C3C3C"/>
          <w:sz w:val="23"/>
          <w:szCs w:val="23"/>
        </w:rPr>
        <w:t>Neurotherapeutics</w:t>
      </w:r>
      <w:proofErr w:type="spellEnd"/>
      <w:r w:rsidRPr="00550447">
        <w:rPr>
          <w:rFonts w:ascii="Open Sans" w:eastAsia="Times New Roman" w:hAnsi="Open Sans" w:cs="Open Sans"/>
          <w:color w:val="3C3C3C"/>
          <w:sz w:val="23"/>
          <w:szCs w:val="23"/>
        </w:rPr>
        <w:t xml:space="preserve"> SA,  Terumo Corporation, </w:t>
      </w:r>
      <w:proofErr w:type="spellStart"/>
      <w:r w:rsidRPr="00550447">
        <w:rPr>
          <w:rFonts w:ascii="Open Sans" w:eastAsia="Times New Roman" w:hAnsi="Open Sans" w:cs="Open Sans"/>
          <w:color w:val="3C3C3C"/>
          <w:sz w:val="23"/>
          <w:szCs w:val="23"/>
        </w:rPr>
        <w:t>Aleva</w:t>
      </w:r>
      <w:proofErr w:type="spellEnd"/>
      <w:r w:rsidRPr="00550447">
        <w:rPr>
          <w:rFonts w:ascii="Open Sans" w:eastAsia="Times New Roman" w:hAnsi="Open Sans" w:cs="Open Sans"/>
          <w:color w:val="3C3C3C"/>
          <w:sz w:val="23"/>
          <w:szCs w:val="23"/>
        </w:rPr>
        <w:t xml:space="preserve"> </w:t>
      </w:r>
      <w:proofErr w:type="spellStart"/>
      <w:r w:rsidRPr="00550447">
        <w:rPr>
          <w:rFonts w:ascii="Open Sans" w:eastAsia="Times New Roman" w:hAnsi="Open Sans" w:cs="Open Sans"/>
          <w:color w:val="3C3C3C"/>
          <w:sz w:val="23"/>
          <w:szCs w:val="23"/>
        </w:rPr>
        <w:t>LivaNova</w:t>
      </w:r>
      <w:proofErr w:type="spellEnd"/>
      <w:r w:rsidRPr="00550447">
        <w:rPr>
          <w:rFonts w:ascii="Open Sans" w:eastAsia="Times New Roman" w:hAnsi="Open Sans" w:cs="Open Sans"/>
          <w:color w:val="3C3C3C"/>
          <w:sz w:val="23"/>
          <w:szCs w:val="23"/>
        </w:rPr>
        <w:t xml:space="preserve">, PLC, NDI Medical, LLC, </w:t>
      </w:r>
      <w:proofErr w:type="spellStart"/>
      <w:r w:rsidRPr="00550447">
        <w:rPr>
          <w:rFonts w:ascii="Open Sans" w:eastAsia="Times New Roman" w:hAnsi="Open Sans" w:cs="Open Sans"/>
          <w:color w:val="3C3C3C"/>
          <w:sz w:val="23"/>
          <w:szCs w:val="23"/>
        </w:rPr>
        <w:t>NeuroPace</w:t>
      </w:r>
      <w:proofErr w:type="spellEnd"/>
      <w:r w:rsidRPr="00550447">
        <w:rPr>
          <w:rFonts w:ascii="Open Sans" w:eastAsia="Times New Roman" w:hAnsi="Open Sans" w:cs="Open Sans"/>
          <w:color w:val="3C3C3C"/>
          <w:sz w:val="23"/>
          <w:szCs w:val="23"/>
        </w:rPr>
        <w:t xml:space="preserve">, Inc., and </w:t>
      </w:r>
      <w:proofErr w:type="spellStart"/>
      <w:r w:rsidRPr="00550447">
        <w:rPr>
          <w:rFonts w:ascii="Open Sans" w:eastAsia="Times New Roman" w:hAnsi="Open Sans" w:cs="Open Sans"/>
          <w:color w:val="3C3C3C"/>
          <w:sz w:val="23"/>
          <w:szCs w:val="23"/>
        </w:rPr>
        <w:t>Synchron</w:t>
      </w:r>
      <w:proofErr w:type="spellEnd"/>
      <w:r w:rsidRPr="00550447">
        <w:rPr>
          <w:rFonts w:ascii="Open Sans" w:eastAsia="Times New Roman" w:hAnsi="Open Sans" w:cs="Open Sans"/>
          <w:color w:val="3C3C3C"/>
          <w:sz w:val="23"/>
          <w:szCs w:val="23"/>
        </w:rPr>
        <w:t>, Inc.</w:t>
      </w:r>
    </w:p>
    <w:p w:rsidR="00550447" w:rsidRDefault="00550447" w:rsidP="00550447">
      <w:pPr>
        <w:rPr>
          <w:rFonts w:ascii="Calibri" w:eastAsia="Times New Roman" w:hAnsi="Calibri" w:cs="Times New Roman"/>
          <w:color w:val="000000"/>
        </w:rPr>
      </w:pPr>
      <w:r>
        <w:t xml:space="preserve">Other Topics: </w:t>
      </w:r>
      <w:hyperlink r:id="rId6" w:history="1">
        <w:r w:rsidRPr="00550447">
          <w:rPr>
            <w:rStyle w:val="Hyperlink"/>
            <w:rFonts w:ascii="Calibri" w:eastAsia="Times New Roman" w:hAnsi="Calibri" w:cs="Times New Roman"/>
          </w:rPr>
          <w:t>https://www.digitaljournal.com/pr/healthcare-cloud-computing-market-size-shares-and-analysis-trends-with-top-most-key-players-ibm-athenahealth-siemens-healthineers</w:t>
        </w:r>
      </w:hyperlink>
    </w:p>
    <w:p w:rsidR="00550447" w:rsidRPr="00550447" w:rsidRDefault="00550447" w:rsidP="00550447">
      <w:pPr>
        <w:spacing w:after="0" w:line="240" w:lineRule="auto"/>
        <w:rPr>
          <w:rFonts w:ascii="Calibri" w:eastAsia="Times New Roman" w:hAnsi="Calibri" w:cs="Times New Roman"/>
          <w:color w:val="000000"/>
        </w:rPr>
      </w:pPr>
      <w:hyperlink r:id="rId7" w:history="1">
        <w:r w:rsidRPr="00550447">
          <w:rPr>
            <w:rStyle w:val="Hyperlink"/>
            <w:rFonts w:ascii="Calibri" w:eastAsia="Times New Roman" w:hAnsi="Calibri" w:cs="Times New Roman"/>
          </w:rPr>
          <w:t>https://www.digitaljournal.com/pr/food-robotics-market-size-shares-and-analysis-trends-with-top-most-key-players-mitsubishi-electric-corporation-abb-group-rockwell-automation-incorporated</w:t>
        </w:r>
      </w:hyperlink>
    </w:p>
    <w:p w:rsidR="00550447" w:rsidRPr="00550447" w:rsidRDefault="00550447" w:rsidP="00550447">
      <w:pPr>
        <w:rPr>
          <w:rFonts w:ascii="Calibri" w:eastAsia="Times New Roman" w:hAnsi="Calibri" w:cs="Times New Roman"/>
          <w:color w:val="000000"/>
        </w:rPr>
      </w:pPr>
    </w:p>
    <w:p w:rsidR="000518E5" w:rsidRDefault="000518E5"/>
    <w:p w:rsidR="00550447" w:rsidRDefault="00550447"/>
    <w:sectPr w:rsidR="0055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A4CAB"/>
    <w:multiLevelType w:val="multilevel"/>
    <w:tmpl w:val="F97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90CD5"/>
    <w:multiLevelType w:val="multilevel"/>
    <w:tmpl w:val="10C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7"/>
    <w:rsid w:val="000518E5"/>
    <w:rsid w:val="0055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CE48-082C-43F1-9C89-B916E223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4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0447"/>
    <w:rPr>
      <w:b/>
      <w:bCs/>
    </w:rPr>
  </w:style>
  <w:style w:type="character" w:styleId="Emphasis">
    <w:name w:val="Emphasis"/>
    <w:basedOn w:val="DefaultParagraphFont"/>
    <w:uiPriority w:val="20"/>
    <w:qFormat/>
    <w:rsid w:val="00550447"/>
    <w:rPr>
      <w:i/>
      <w:iCs/>
    </w:rPr>
  </w:style>
  <w:style w:type="character" w:styleId="Hyperlink">
    <w:name w:val="Hyperlink"/>
    <w:basedOn w:val="DefaultParagraphFont"/>
    <w:uiPriority w:val="99"/>
    <w:unhideWhenUsed/>
    <w:rsid w:val="00550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855364">
      <w:bodyDiv w:val="1"/>
      <w:marLeft w:val="0"/>
      <w:marRight w:val="0"/>
      <w:marTop w:val="0"/>
      <w:marBottom w:val="0"/>
      <w:divBdr>
        <w:top w:val="none" w:sz="0" w:space="0" w:color="auto"/>
        <w:left w:val="none" w:sz="0" w:space="0" w:color="auto"/>
        <w:bottom w:val="none" w:sz="0" w:space="0" w:color="auto"/>
        <w:right w:val="none" w:sz="0" w:space="0" w:color="auto"/>
      </w:divBdr>
    </w:div>
    <w:div w:id="1177500959">
      <w:bodyDiv w:val="1"/>
      <w:marLeft w:val="0"/>
      <w:marRight w:val="0"/>
      <w:marTop w:val="0"/>
      <w:marBottom w:val="0"/>
      <w:divBdr>
        <w:top w:val="none" w:sz="0" w:space="0" w:color="auto"/>
        <w:left w:val="none" w:sz="0" w:space="0" w:color="auto"/>
        <w:bottom w:val="none" w:sz="0" w:space="0" w:color="auto"/>
        <w:right w:val="none" w:sz="0" w:space="0" w:color="auto"/>
      </w:divBdr>
    </w:div>
    <w:div w:id="134598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ood-robotics-market-size-shares-and-analysis-trends-with-top-most-key-players-mitsubishi-electric-corporation-abb-group-rockwell-automation-incorpora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healthcare-cloud-computing-market-size-shares-and-analysis-trends-with-top-most-key-players-ibm-athenahealth-siemens-healthineers" TargetMode="External"/><Relationship Id="rId5" Type="http://schemas.openxmlformats.org/officeDocument/2006/relationships/hyperlink" Target="https://prophecymarketinsights.com/market_insight/Global-Brain-Implants-Market-By-1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2022-08-30T08:21:00Z</dcterms:created>
  <dcterms:modified xsi:type="dcterms:W3CDTF">2022-08-30T08:23:00Z</dcterms:modified>
</cp:coreProperties>
</file>