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F5E" w:rsidRPr="00152AB8" w:rsidRDefault="00152AB8">
      <w:pPr>
        <w:rPr>
          <w:rFonts w:ascii="Calibri" w:eastAsia="Times New Roman" w:hAnsi="Calibri" w:cs="Times New Roman"/>
          <w:b/>
          <w:bCs/>
          <w:color w:val="3C3C3C"/>
          <w:sz w:val="28"/>
          <w:szCs w:val="28"/>
          <w:bdr w:val="none" w:sz="0" w:space="0" w:color="auto" w:frame="1"/>
        </w:rPr>
      </w:pPr>
      <w:r w:rsidRPr="00152AB8">
        <w:rPr>
          <w:rFonts w:ascii="Calibri" w:eastAsia="Times New Roman" w:hAnsi="Calibri" w:cs="Times New Roman"/>
          <w:b/>
          <w:bCs/>
          <w:color w:val="3C3C3C"/>
          <w:sz w:val="28"/>
          <w:szCs w:val="28"/>
          <w:bdr w:val="none" w:sz="0" w:space="0" w:color="auto" w:frame="1"/>
        </w:rPr>
        <w:t xml:space="preserve">Growing Health Awareness Globally Among Consumers </w:t>
      </w:r>
      <w:proofErr w:type="gramStart"/>
      <w:r w:rsidRPr="00152AB8">
        <w:rPr>
          <w:rFonts w:ascii="Calibri" w:eastAsia="Times New Roman" w:hAnsi="Calibri" w:cs="Times New Roman"/>
          <w:b/>
          <w:bCs/>
          <w:color w:val="3C3C3C"/>
          <w:sz w:val="28"/>
          <w:szCs w:val="28"/>
          <w:bdr w:val="none" w:sz="0" w:space="0" w:color="auto" w:frame="1"/>
        </w:rPr>
        <w:t>Of</w:t>
      </w:r>
      <w:proofErr w:type="gramEnd"/>
      <w:r w:rsidRPr="00152AB8">
        <w:rPr>
          <w:rFonts w:ascii="Calibri" w:eastAsia="Times New Roman" w:hAnsi="Calibri" w:cs="Times New Roman"/>
          <w:b/>
          <w:bCs/>
          <w:color w:val="3C3C3C"/>
          <w:sz w:val="28"/>
          <w:szCs w:val="28"/>
          <w:bdr w:val="none" w:sz="0" w:space="0" w:color="auto" w:frame="1"/>
        </w:rPr>
        <w:t xml:space="preserve"> All Age Groups Along With A Considerable Growth In The Number Of Fitness Centers And Gymnasiums: Global Health Supplements Market</w:t>
      </w:r>
      <w:bookmarkStart w:id="0" w:name="_GoBack"/>
      <w:bookmarkEnd w:id="0"/>
    </w:p>
    <w:p w:rsidR="00152AB8" w:rsidRDefault="00152AB8"/>
    <w:p w:rsidR="00152AB8" w:rsidRPr="00152AB8" w:rsidRDefault="00152AB8" w:rsidP="00152AB8">
      <w:pPr>
        <w:shd w:val="clear" w:color="auto" w:fill="FFFFFF"/>
        <w:spacing w:after="0" w:line="240" w:lineRule="auto"/>
        <w:jc w:val="center"/>
        <w:rPr>
          <w:rFonts w:ascii="Open Sans" w:eastAsia="Times New Roman" w:hAnsi="Open Sans" w:cs="Times New Roman"/>
          <w:color w:val="3C3C3C"/>
          <w:sz w:val="23"/>
          <w:szCs w:val="23"/>
        </w:rPr>
      </w:pPr>
      <w:r w:rsidRPr="00152AB8">
        <w:rPr>
          <w:rFonts w:ascii="Calibri" w:eastAsia="Times New Roman" w:hAnsi="Calibri" w:cs="Times New Roman"/>
          <w:i/>
          <w:iCs/>
          <w:color w:val="80819F"/>
          <w:sz w:val="24"/>
          <w:szCs w:val="24"/>
          <w:bdr w:val="none" w:sz="0" w:space="0" w:color="auto" w:frame="1"/>
          <w:shd w:val="clear" w:color="auto" w:fill="FFFFFF"/>
        </w:rPr>
        <w:t>The global health supplements</w:t>
      </w:r>
      <w:r w:rsidRPr="00152AB8">
        <w:rPr>
          <w:rFonts w:ascii="Calibri" w:eastAsia="Times New Roman" w:hAnsi="Calibri" w:cs="Times New Roman"/>
          <w:b/>
          <w:bCs/>
          <w:i/>
          <w:iCs/>
          <w:color w:val="80819F"/>
          <w:sz w:val="24"/>
          <w:szCs w:val="24"/>
          <w:bdr w:val="none" w:sz="0" w:space="0" w:color="auto" w:frame="1"/>
          <w:shd w:val="clear" w:color="auto" w:fill="FFFFFF"/>
        </w:rPr>
        <w:t> </w:t>
      </w:r>
      <w:r w:rsidRPr="00152AB8">
        <w:rPr>
          <w:rFonts w:ascii="Calibri" w:eastAsia="Times New Roman" w:hAnsi="Calibri" w:cs="Times New Roman"/>
          <w:i/>
          <w:iCs/>
          <w:color w:val="80819F"/>
          <w:sz w:val="24"/>
          <w:szCs w:val="24"/>
          <w:bdr w:val="none" w:sz="0" w:space="0" w:color="auto" w:frame="1"/>
          <w:shd w:val="clear" w:color="auto" w:fill="FFFFFF"/>
        </w:rPr>
        <w:t>market is anticipated to register a CAGR of 7.80% by 2029</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color w:val="3C3C3C"/>
          <w:sz w:val="24"/>
          <w:szCs w:val="24"/>
          <w:bdr w:val="none" w:sz="0" w:space="0" w:color="auto" w:frame="1"/>
          <w:shd w:val="clear" w:color="auto" w:fill="FFFFFF"/>
        </w:rPr>
        <w:t>The report </w:t>
      </w:r>
      <w:r w:rsidRPr="00152AB8">
        <w:rPr>
          <w:rFonts w:ascii="Times New Roman" w:eastAsia="Times New Roman" w:hAnsi="Times New Roman" w:cs="Times New Roman"/>
          <w:color w:val="3C3C3C"/>
          <w:sz w:val="28"/>
          <w:szCs w:val="28"/>
          <w:bdr w:val="none" w:sz="0" w:space="0" w:color="auto" w:frame="1"/>
        </w:rPr>
        <w:t>"</w:t>
      </w:r>
      <w:r w:rsidRPr="00152AB8">
        <w:rPr>
          <w:rFonts w:ascii="Calibri" w:eastAsia="Times New Roman" w:hAnsi="Calibri" w:cs="Times New Roman"/>
          <w:b/>
          <w:bCs/>
          <w:color w:val="3C3C3C"/>
          <w:sz w:val="28"/>
          <w:szCs w:val="28"/>
          <w:bdr w:val="none" w:sz="0" w:space="0" w:color="auto" w:frame="1"/>
        </w:rPr>
        <w:t>Global</w:t>
      </w:r>
      <w:r w:rsidRPr="00152AB8">
        <w:rPr>
          <w:rFonts w:ascii="Times New Roman" w:eastAsia="Times New Roman" w:hAnsi="Times New Roman" w:cs="Times New Roman"/>
          <w:b/>
          <w:bCs/>
          <w:color w:val="3C3C3C"/>
          <w:sz w:val="24"/>
          <w:szCs w:val="24"/>
          <w:bdr w:val="none" w:sz="0" w:space="0" w:color="auto" w:frame="1"/>
        </w:rPr>
        <w:t> </w:t>
      </w:r>
      <w:r w:rsidRPr="00152AB8">
        <w:rPr>
          <w:rFonts w:ascii="Calibri" w:eastAsia="Times New Roman" w:hAnsi="Calibri" w:cs="Times New Roman"/>
          <w:b/>
          <w:bCs/>
          <w:color w:val="3C3C3C"/>
          <w:sz w:val="28"/>
          <w:szCs w:val="28"/>
          <w:bdr w:val="none" w:sz="0" w:space="0" w:color="auto" w:frame="1"/>
        </w:rPr>
        <w:t>Health Supplements Market, By Type (Dietary Supplements, Body Building Supplements, Eye Health Supplements, Specialty Supplements, and Others), By Ingredients (Vitamins &amp; Minerals, Amino Acids, Botanicals, Enzymes, and Others), By Application (Cardiology, Rheumatic Disorders, Allergy, and Others), By End-user (Adults, Geriatric, Pregnant Women, Children, and Infants), and By Region (North America, Europe, Asia Pacific, Latin America, and the Middle East &amp; Africa) - Trends, Analysis and Forecast till 2029”</w:t>
      </w:r>
      <w:r w:rsidRPr="00152AB8">
        <w:rPr>
          <w:rFonts w:ascii="Times New Roman" w:eastAsia="Times New Roman" w:hAnsi="Times New Roman" w:cs="Times New Roman"/>
          <w:color w:val="3C3C3C"/>
          <w:sz w:val="28"/>
          <w:szCs w:val="28"/>
          <w:bdr w:val="none" w:sz="0" w:space="0" w:color="auto" w:frame="1"/>
        </w:rPr>
        <w:t>.</w:t>
      </w:r>
    </w:p>
    <w:p w:rsidR="00152AB8" w:rsidRDefault="00152AB8" w:rsidP="00152AB8">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b/>
          <w:bCs/>
          <w:color w:val="3C3C3C"/>
          <w:sz w:val="24"/>
          <w:szCs w:val="24"/>
          <w:bdr w:val="none" w:sz="0" w:space="0" w:color="auto" w:frame="1"/>
          <w:shd w:val="clear" w:color="auto" w:fill="FFFFFF"/>
        </w:rPr>
        <w:t>Key Highlights:</w:t>
      </w:r>
    </w:p>
    <w:p w:rsidR="00152AB8" w:rsidRPr="00152AB8" w:rsidRDefault="00152AB8" w:rsidP="00152AB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 xml:space="preserve">In January 2020, </w:t>
      </w:r>
      <w:proofErr w:type="spellStart"/>
      <w:r w:rsidRPr="00152AB8">
        <w:rPr>
          <w:rFonts w:ascii="Calibri" w:eastAsia="Times New Roman" w:hAnsi="Calibri" w:cs="Times New Roman"/>
          <w:color w:val="3C3C3C"/>
          <w:sz w:val="24"/>
          <w:szCs w:val="24"/>
          <w:bdr w:val="none" w:sz="0" w:space="0" w:color="auto" w:frame="1"/>
          <w:shd w:val="clear" w:color="auto" w:fill="FFFFFF"/>
        </w:rPr>
        <w:t>Herbalife</w:t>
      </w:r>
      <w:proofErr w:type="spellEnd"/>
      <w:r w:rsidRPr="00152AB8">
        <w:rPr>
          <w:rFonts w:ascii="Calibri" w:eastAsia="Times New Roman" w:hAnsi="Calibri" w:cs="Times New Roman"/>
          <w:color w:val="3C3C3C"/>
          <w:sz w:val="24"/>
          <w:szCs w:val="24"/>
          <w:bdr w:val="none" w:sz="0" w:space="0" w:color="auto" w:frame="1"/>
          <w:shd w:val="clear" w:color="auto" w:fill="FFFFFF"/>
        </w:rPr>
        <w:t xml:space="preserve"> Nutrition launched a new product Beta Heart, which is specially designed to maintain cholesterol levels in the blood. It is a vanilla-</w:t>
      </w:r>
      <w:proofErr w:type="spellStart"/>
      <w:r w:rsidRPr="00152AB8">
        <w:rPr>
          <w:rFonts w:ascii="Calibri" w:eastAsia="Times New Roman" w:hAnsi="Calibri" w:cs="Times New Roman"/>
          <w:color w:val="3C3C3C"/>
          <w:sz w:val="24"/>
          <w:szCs w:val="24"/>
          <w:bdr w:val="none" w:sz="0" w:space="0" w:color="auto" w:frame="1"/>
          <w:shd w:val="clear" w:color="auto" w:fill="FFFFFF"/>
        </w:rPr>
        <w:t>flavoured</w:t>
      </w:r>
      <w:proofErr w:type="spellEnd"/>
      <w:r w:rsidRPr="00152AB8">
        <w:rPr>
          <w:rFonts w:ascii="Calibri" w:eastAsia="Times New Roman" w:hAnsi="Calibri" w:cs="Times New Roman"/>
          <w:color w:val="3C3C3C"/>
          <w:sz w:val="24"/>
          <w:szCs w:val="24"/>
          <w:bdr w:val="none" w:sz="0" w:space="0" w:color="auto" w:frame="1"/>
          <w:shd w:val="clear" w:color="auto" w:fill="FFFFFF"/>
        </w:rPr>
        <w:t xml:space="preserve"> product. </w:t>
      </w:r>
      <w:proofErr w:type="spellStart"/>
      <w:r w:rsidRPr="00152AB8">
        <w:rPr>
          <w:rFonts w:ascii="Calibri" w:eastAsia="Times New Roman" w:hAnsi="Calibri" w:cs="Times New Roman"/>
          <w:color w:val="3C3C3C"/>
          <w:sz w:val="24"/>
          <w:szCs w:val="24"/>
          <w:bdr w:val="none" w:sz="0" w:space="0" w:color="auto" w:frame="1"/>
          <w:shd w:val="clear" w:color="auto" w:fill="FFFFFF"/>
        </w:rPr>
        <w:t>Herbalife</w:t>
      </w:r>
      <w:proofErr w:type="spellEnd"/>
      <w:r w:rsidRPr="00152AB8">
        <w:rPr>
          <w:rFonts w:ascii="Calibri" w:eastAsia="Times New Roman" w:hAnsi="Calibri" w:cs="Times New Roman"/>
          <w:color w:val="3C3C3C"/>
          <w:sz w:val="24"/>
          <w:szCs w:val="24"/>
          <w:bdr w:val="none" w:sz="0" w:space="0" w:color="auto" w:frame="1"/>
          <w:shd w:val="clear" w:color="auto" w:fill="FFFFFF"/>
        </w:rPr>
        <w:t xml:space="preserve"> is a global leader in the field of nutrition supplements and has a wide range of products to help consumers in achieving better health.</w:t>
      </w:r>
    </w:p>
    <w:p w:rsidR="00152AB8" w:rsidRPr="00152AB8" w:rsidRDefault="00152AB8" w:rsidP="00152AB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 xml:space="preserve">In May 2019, BASF and </w:t>
      </w:r>
      <w:proofErr w:type="spellStart"/>
      <w:r w:rsidRPr="00152AB8">
        <w:rPr>
          <w:rFonts w:ascii="Calibri" w:eastAsia="Times New Roman" w:hAnsi="Calibri" w:cs="Times New Roman"/>
          <w:color w:val="3C3C3C"/>
          <w:sz w:val="24"/>
          <w:szCs w:val="24"/>
          <w:bdr w:val="none" w:sz="0" w:space="0" w:color="auto" w:frame="1"/>
          <w:shd w:val="clear" w:color="auto" w:fill="FFFFFF"/>
        </w:rPr>
        <w:t>Glycosyn</w:t>
      </w:r>
      <w:proofErr w:type="spellEnd"/>
      <w:r w:rsidRPr="00152AB8">
        <w:rPr>
          <w:rFonts w:ascii="Calibri" w:eastAsia="Times New Roman" w:hAnsi="Calibri" w:cs="Times New Roman"/>
          <w:color w:val="3C3C3C"/>
          <w:sz w:val="24"/>
          <w:szCs w:val="24"/>
          <w:bdr w:val="none" w:sz="0" w:space="0" w:color="auto" w:frame="1"/>
          <w:shd w:val="clear" w:color="auto" w:fill="FFFFFF"/>
        </w:rPr>
        <w:t xml:space="preserve"> signed a partnership agreement for the development and commercialization of human milk oligosaccharides (HMOs) for broad use in dietary supplements, functional nutrition, and medical food. The strategic partnership includes an exclusive license of </w:t>
      </w:r>
      <w:proofErr w:type="spellStart"/>
      <w:r w:rsidRPr="00152AB8">
        <w:rPr>
          <w:rFonts w:ascii="Calibri" w:eastAsia="Times New Roman" w:hAnsi="Calibri" w:cs="Times New Roman"/>
          <w:color w:val="3C3C3C"/>
          <w:sz w:val="24"/>
          <w:szCs w:val="24"/>
          <w:bdr w:val="none" w:sz="0" w:space="0" w:color="auto" w:frame="1"/>
          <w:shd w:val="clear" w:color="auto" w:fill="FFFFFF"/>
        </w:rPr>
        <w:t>Glycosyn´s</w:t>
      </w:r>
      <w:proofErr w:type="spellEnd"/>
      <w:r w:rsidRPr="00152AB8">
        <w:rPr>
          <w:rFonts w:ascii="Calibri" w:eastAsia="Times New Roman" w:hAnsi="Calibri" w:cs="Times New Roman"/>
          <w:color w:val="3C3C3C"/>
          <w:sz w:val="24"/>
          <w:szCs w:val="24"/>
          <w:bdr w:val="none" w:sz="0" w:space="0" w:color="auto" w:frame="1"/>
          <w:shd w:val="clear" w:color="auto" w:fill="FFFFFF"/>
        </w:rPr>
        <w:t xml:space="preserve"> patent portfolio for gut health beyond infant nutrition to BASF. The agreement aims to improve gastrointestinal health in adolescents and adults, along with broadening the applications of HMO for further health conditions.</w:t>
      </w:r>
    </w:p>
    <w:p w:rsidR="00152AB8" w:rsidRDefault="00152AB8" w:rsidP="00152AB8">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b/>
          <w:bCs/>
          <w:color w:val="3C3C3C"/>
          <w:sz w:val="24"/>
          <w:szCs w:val="24"/>
          <w:bdr w:val="none" w:sz="0" w:space="0" w:color="auto" w:frame="1"/>
        </w:rPr>
        <w:t>Analyst View:</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color w:val="3C3C3C"/>
          <w:sz w:val="24"/>
          <w:szCs w:val="24"/>
          <w:bdr w:val="none" w:sz="0" w:space="0" w:color="auto" w:frame="1"/>
          <w:shd w:val="clear" w:color="auto" w:fill="FFFFFF"/>
        </w:rPr>
        <w:t xml:space="preserve">Health supplements are used to reduce the risk of diseases. However, it </w:t>
      </w:r>
      <w:proofErr w:type="spellStart"/>
      <w:r w:rsidRPr="00152AB8">
        <w:rPr>
          <w:rFonts w:ascii="Calibri" w:eastAsia="Times New Roman" w:hAnsi="Calibri" w:cs="Times New Roman"/>
          <w:color w:val="3C3C3C"/>
          <w:sz w:val="24"/>
          <w:szCs w:val="24"/>
          <w:bdr w:val="none" w:sz="0" w:space="0" w:color="auto" w:frame="1"/>
          <w:shd w:val="clear" w:color="auto" w:fill="FFFFFF"/>
        </w:rPr>
        <w:t>can not</w:t>
      </w:r>
      <w:proofErr w:type="spellEnd"/>
      <w:r w:rsidRPr="00152AB8">
        <w:rPr>
          <w:rFonts w:ascii="Calibri" w:eastAsia="Times New Roman" w:hAnsi="Calibri" w:cs="Times New Roman"/>
          <w:color w:val="3C3C3C"/>
          <w:sz w:val="24"/>
          <w:szCs w:val="24"/>
          <w:bdr w:val="none" w:sz="0" w:space="0" w:color="auto" w:frame="1"/>
          <w:shd w:val="clear" w:color="auto" w:fill="FFFFFF"/>
        </w:rPr>
        <w:t xml:space="preserve"> be considered as an alternative to a complete meal, which is essential for a healthy diet. Health supplements also help with the treatment of cardiology, rheumatic disorders, and allergy. Therefore, wide range of applications propels the growth of global health supplements market. Moreover, growing concern towards improving the quality of health is driving the growth of heath supplements market worldwide. According to the data published by the Council for Responsible Nutrition, in 2015, nearby 68% of Americans take dietary supplements and 84% of Americans are confident about the quality, safety, and effectiveness of the supplements.</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color w:val="3C3C3C"/>
          <w:sz w:val="24"/>
          <w:szCs w:val="24"/>
          <w:bdr w:val="none" w:sz="0" w:space="0" w:color="auto" w:frame="1"/>
          <w:shd w:val="clear" w:color="auto" w:fill="FFFFFF"/>
        </w:rPr>
        <w:t>Furthermore, increasing urbanization, rising awareness about the functional benefits of health supplements, and changing lifestyles are factors influencing the market growth of health supplements. Additionally, rising concerns about the maintenance of health to avoid later treatment, treating illnesses, ensuring adherence to recommended dietary requirements, developing pharmaceutical and retail industries, and rapid advancements in product offerings also influence growth of the target market.</w:t>
      </w:r>
    </w:p>
    <w:p w:rsidR="00152AB8" w:rsidRDefault="00152AB8" w:rsidP="00152AB8">
      <w:pPr>
        <w:shd w:val="clear" w:color="auto" w:fill="FFFFFF"/>
        <w:spacing w:after="0" w:line="240" w:lineRule="auto"/>
        <w:jc w:val="both"/>
        <w:rPr>
          <w:rFonts w:ascii="Calibri" w:eastAsia="Times New Roman" w:hAnsi="Calibri" w:cs="Times New Roman"/>
          <w:i/>
          <w:iCs/>
          <w:color w:val="80819F"/>
          <w:sz w:val="20"/>
          <w:szCs w:val="20"/>
          <w:bdr w:val="none" w:sz="0" w:space="0" w:color="auto" w:frame="1"/>
          <w:shd w:val="clear" w:color="auto" w:fill="FFFFFF"/>
        </w:rPr>
      </w:pP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i/>
          <w:iCs/>
          <w:color w:val="80819F"/>
          <w:sz w:val="20"/>
          <w:szCs w:val="20"/>
          <w:bdr w:val="none" w:sz="0" w:space="0" w:color="auto" w:frame="1"/>
          <w:shd w:val="clear" w:color="auto" w:fill="FFFFFF"/>
        </w:rPr>
        <w:lastRenderedPageBreak/>
        <w:t>Browse 60 market data tables* and 35 figures* through 140 slides and in-depth TOC on “Global </w:t>
      </w:r>
      <w:r w:rsidRPr="00152AB8">
        <w:rPr>
          <w:rFonts w:ascii="Calibri" w:eastAsia="Times New Roman" w:hAnsi="Calibri" w:cs="Times New Roman"/>
          <w:color w:val="3C3C3C"/>
          <w:sz w:val="20"/>
          <w:szCs w:val="20"/>
          <w:bdr w:val="none" w:sz="0" w:space="0" w:color="auto" w:frame="1"/>
          <w:shd w:val="clear" w:color="auto" w:fill="FFFFFF"/>
        </w:rPr>
        <w:t>Health Supplements</w:t>
      </w:r>
      <w:r w:rsidRPr="00152AB8">
        <w:rPr>
          <w:rFonts w:ascii="Calibri" w:eastAsia="Times New Roman" w:hAnsi="Calibri" w:cs="Times New Roman"/>
          <w:i/>
          <w:iCs/>
          <w:color w:val="80819F"/>
          <w:sz w:val="20"/>
          <w:szCs w:val="20"/>
          <w:bdr w:val="none" w:sz="0" w:space="0" w:color="auto" w:frame="1"/>
          <w:shd w:val="clear" w:color="auto" w:fill="FFFFFF"/>
        </w:rPr>
        <w:t> Market”, By Type (Dietary Supplements, Body Building Supplements, Eye Health Supplements, Specialty Supplements, and Others), By Ingredients (Vitamins &amp; Minerals, Amino Acids, Botanicals, Enzymes, and Others), By Application (Cardiology, Rheumatic Disorders, Allergy, and Others), By End-user (Adults, Geriatric, Pregnant Women, Children, and Infants), and By Region (North America, Europe, Asia Pacific, Latin America, and the Middle East &amp; Africa) - Trends, Analysis and Forecast till 2029</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color w:val="3C3C3C"/>
          <w:sz w:val="24"/>
          <w:szCs w:val="24"/>
          <w:bdr w:val="none" w:sz="0" w:space="0" w:color="auto" w:frame="1"/>
          <w:shd w:val="clear" w:color="auto" w:fill="FFFFFF"/>
        </w:rPr>
        <w:t>The market report has been segmented on the basis of</w:t>
      </w:r>
      <w:r w:rsidRPr="00152AB8">
        <w:rPr>
          <w:rFonts w:ascii="Times New Roman" w:eastAsia="Times New Roman" w:hAnsi="Times New Roman" w:cs="Times New Roman"/>
          <w:color w:val="3C3C3C"/>
          <w:sz w:val="24"/>
          <w:szCs w:val="24"/>
          <w:bdr w:val="none" w:sz="0" w:space="0" w:color="auto" w:frame="1"/>
        </w:rPr>
        <w:t> </w:t>
      </w:r>
      <w:r w:rsidRPr="00152AB8">
        <w:rPr>
          <w:rFonts w:ascii="Calibri" w:eastAsia="Times New Roman" w:hAnsi="Calibri" w:cs="Times New Roman"/>
          <w:color w:val="3C3C3C"/>
          <w:sz w:val="24"/>
          <w:szCs w:val="24"/>
          <w:bdr w:val="none" w:sz="0" w:space="0" w:color="auto" w:frame="1"/>
        </w:rPr>
        <w:t>type, ingredients, application, end-user, and region.</w:t>
      </w:r>
    </w:p>
    <w:p w:rsidR="00152AB8" w:rsidRPr="00152AB8" w:rsidRDefault="00152AB8" w:rsidP="00152AB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rPr>
        <w:t>By type, the dietary supplements segment is driven by the hectic work schedules among working individuals along with fluctuations in diet intervals. These factors have promoted the sale of dietary and nutritional supplements in the form of liquids, powder, and capsules around the world.</w:t>
      </w:r>
    </w:p>
    <w:p w:rsidR="00152AB8" w:rsidRPr="00152AB8" w:rsidRDefault="00152AB8" w:rsidP="00152AB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rPr>
        <w:t>By ingredients, vitamin segment dominated the target market in terms of highest total market share in 2019. Vitamins are the majorly used ingredient for the formation of dietary supplements due to its ability to be easily excreted by kidneys. These products are estimated to find more application among sports athletes and working professionals in the form of multivitamin powders, tablets, and liquids.</w:t>
      </w:r>
    </w:p>
    <w:p w:rsidR="00152AB8" w:rsidRPr="00152AB8" w:rsidRDefault="00152AB8" w:rsidP="00152AB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rPr>
        <w:t>By application, cardiology segment dominated the target market in 2019, owing to the growing prevalence of the disease. Further, advantages associated with plant-extracted drugs over synthetic drugs are factors projected to boost the market during the forecast period.</w:t>
      </w:r>
    </w:p>
    <w:p w:rsidR="00152AB8" w:rsidRPr="00152AB8" w:rsidRDefault="00152AB8" w:rsidP="00152AB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rPr>
        <w:t>By end-user, adults segment dominated the target market in terms of the market share of in 2019. Growing awareness regarding fat reduction and rising focus on enhancing nutrition intake is projected to drive the segment growth over the forecast period.</w:t>
      </w:r>
    </w:p>
    <w:p w:rsidR="00152AB8" w:rsidRPr="00152AB8" w:rsidRDefault="00152AB8" w:rsidP="00152AB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By region, </w:t>
      </w:r>
      <w:r w:rsidRPr="00152AB8">
        <w:rPr>
          <w:rFonts w:ascii="Calibri" w:eastAsia="Times New Roman" w:hAnsi="Calibri" w:cs="Times New Roman"/>
          <w:color w:val="3C3C3C"/>
          <w:sz w:val="24"/>
          <w:szCs w:val="24"/>
          <w:bdr w:val="none" w:sz="0" w:space="0" w:color="auto" w:frame="1"/>
        </w:rPr>
        <w:t>North America led the global health supplements market due to availability of major market players in this region, which are launching quality products for capturing the largest market share. Also, the government support for research &amp; development and presence of funds for research is fueling the health supplements market. For instance, the U.S. and Canada countries are growing their investments in the healthcare domain.</w:t>
      </w:r>
    </w:p>
    <w:p w:rsidR="00152AB8" w:rsidRDefault="00152AB8" w:rsidP="00152AB8">
      <w:pPr>
        <w:shd w:val="clear" w:color="auto" w:fill="FFFFFF"/>
        <w:spacing w:after="0" w:line="240" w:lineRule="auto"/>
        <w:jc w:val="both"/>
        <w:rPr>
          <w:rFonts w:ascii="Calibri" w:eastAsia="Times New Roman" w:hAnsi="Calibri" w:cs="Times New Roman"/>
          <w:i/>
          <w:iCs/>
          <w:color w:val="80819F"/>
          <w:sz w:val="24"/>
          <w:szCs w:val="24"/>
          <w:bdr w:val="none" w:sz="0" w:space="0" w:color="auto" w:frame="1"/>
        </w:rPr>
      </w:pP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152AB8">
        <w:rPr>
          <w:rFonts w:ascii="Calibri" w:eastAsia="Times New Roman" w:hAnsi="Calibri" w:cs="Times New Roman"/>
          <w:b/>
          <w:bCs/>
          <w:i/>
          <w:iCs/>
          <w:color w:val="80819F"/>
          <w:sz w:val="24"/>
          <w:szCs w:val="24"/>
          <w:bdr w:val="none" w:sz="0" w:space="0" w:color="auto" w:frame="1"/>
          <w:shd w:val="clear" w:color="auto" w:fill="FFFFFF"/>
        </w:rPr>
        <w:t>:</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152AB8">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https://www.prophecymarketinsights.com/market_insight/Global-Health-Supplements-Market-4403</w:t>
        </w:r>
      </w:hyperlink>
    </w:p>
    <w:p w:rsidR="00152AB8" w:rsidRDefault="00152AB8" w:rsidP="00152AB8">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b/>
          <w:bCs/>
          <w:color w:val="3C3C3C"/>
          <w:sz w:val="24"/>
          <w:szCs w:val="24"/>
          <w:bdr w:val="none" w:sz="0" w:space="0" w:color="auto" w:frame="1"/>
          <w:shd w:val="clear" w:color="auto" w:fill="FFFFFF"/>
        </w:rPr>
        <w:t>Competitive Landscape:</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color w:val="3C3C3C"/>
          <w:sz w:val="24"/>
          <w:szCs w:val="24"/>
          <w:bdr w:val="none" w:sz="0" w:space="0" w:color="auto" w:frame="1"/>
          <w:shd w:val="clear" w:color="auto" w:fill="FFFFFF"/>
        </w:rPr>
        <w:t>The prominent player operating in the global health supplements market includes </w:t>
      </w:r>
      <w:proofErr w:type="spellStart"/>
      <w:r w:rsidRPr="00152AB8">
        <w:rPr>
          <w:rFonts w:ascii="Calibri" w:eastAsia="Times New Roman" w:hAnsi="Calibri" w:cs="Times New Roman"/>
          <w:color w:val="3C3C3C"/>
          <w:sz w:val="24"/>
          <w:szCs w:val="24"/>
          <w:bdr w:val="none" w:sz="0" w:space="0" w:color="auto" w:frame="1"/>
        </w:rPr>
        <w:t>Herblife</w:t>
      </w:r>
      <w:proofErr w:type="spellEnd"/>
      <w:r w:rsidRPr="00152AB8">
        <w:rPr>
          <w:rFonts w:ascii="Calibri" w:eastAsia="Times New Roman" w:hAnsi="Calibri" w:cs="Times New Roman"/>
          <w:color w:val="3C3C3C"/>
          <w:sz w:val="24"/>
          <w:szCs w:val="24"/>
          <w:bdr w:val="none" w:sz="0" w:space="0" w:color="auto" w:frame="1"/>
        </w:rPr>
        <w:t xml:space="preserve"> International, BASF SE, The Nature's Bounty Co., </w:t>
      </w:r>
      <w:proofErr w:type="gramStart"/>
      <w:r w:rsidRPr="00152AB8">
        <w:rPr>
          <w:rFonts w:ascii="Calibri" w:eastAsia="Times New Roman" w:hAnsi="Calibri" w:cs="Times New Roman"/>
          <w:color w:val="3C3C3C"/>
          <w:sz w:val="24"/>
          <w:szCs w:val="24"/>
          <w:bdr w:val="none" w:sz="0" w:space="0" w:color="auto" w:frame="1"/>
        </w:rPr>
        <w:t>Bayer</w:t>
      </w:r>
      <w:proofErr w:type="gramEnd"/>
      <w:r w:rsidRPr="00152AB8">
        <w:rPr>
          <w:rFonts w:ascii="Calibri" w:eastAsia="Times New Roman" w:hAnsi="Calibri" w:cs="Times New Roman"/>
          <w:color w:val="3C3C3C"/>
          <w:sz w:val="24"/>
          <w:szCs w:val="24"/>
          <w:bdr w:val="none" w:sz="0" w:space="0" w:color="auto" w:frame="1"/>
        </w:rPr>
        <w:t xml:space="preserve"> AG, E. I. du Pont de Nemours and Company, Amway, </w:t>
      </w:r>
      <w:proofErr w:type="spellStart"/>
      <w:r w:rsidRPr="00152AB8">
        <w:rPr>
          <w:rFonts w:ascii="Calibri" w:eastAsia="Times New Roman" w:hAnsi="Calibri" w:cs="Times New Roman"/>
          <w:color w:val="3C3C3C"/>
          <w:sz w:val="24"/>
          <w:szCs w:val="24"/>
          <w:bdr w:val="none" w:sz="0" w:space="0" w:color="auto" w:frame="1"/>
        </w:rPr>
        <w:t>Glanbia</w:t>
      </w:r>
      <w:proofErr w:type="spellEnd"/>
      <w:r w:rsidRPr="00152AB8">
        <w:rPr>
          <w:rFonts w:ascii="Calibri" w:eastAsia="Times New Roman" w:hAnsi="Calibri" w:cs="Times New Roman"/>
          <w:color w:val="3C3C3C"/>
          <w:sz w:val="24"/>
          <w:szCs w:val="24"/>
          <w:bdr w:val="none" w:sz="0" w:space="0" w:color="auto" w:frame="1"/>
        </w:rPr>
        <w:t xml:space="preserve"> </w:t>
      </w:r>
      <w:proofErr w:type="spellStart"/>
      <w:r w:rsidRPr="00152AB8">
        <w:rPr>
          <w:rFonts w:ascii="Calibri" w:eastAsia="Times New Roman" w:hAnsi="Calibri" w:cs="Times New Roman"/>
          <w:color w:val="3C3C3C"/>
          <w:sz w:val="24"/>
          <w:szCs w:val="24"/>
          <w:bdr w:val="none" w:sz="0" w:space="0" w:color="auto" w:frame="1"/>
        </w:rPr>
        <w:t>plc</w:t>
      </w:r>
      <w:proofErr w:type="spellEnd"/>
      <w:r w:rsidRPr="00152AB8">
        <w:rPr>
          <w:rFonts w:ascii="Calibri" w:eastAsia="Times New Roman" w:hAnsi="Calibri" w:cs="Times New Roman"/>
          <w:color w:val="3C3C3C"/>
          <w:sz w:val="24"/>
          <w:szCs w:val="24"/>
          <w:bdr w:val="none" w:sz="0" w:space="0" w:color="auto" w:frame="1"/>
        </w:rPr>
        <w:t>, Abbott Laboratories, Alticor, Inc., and GlaxoSmithKline Limited.</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color w:val="3C3C3C"/>
          <w:sz w:val="24"/>
          <w:szCs w:val="24"/>
          <w:bdr w:val="none" w:sz="0" w:space="0" w:color="auto" w:frame="1"/>
          <w:shd w:val="clear" w:color="auto" w:fill="FFFFFF"/>
        </w:rPr>
        <w:t xml:space="preserve">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w:t>
      </w:r>
      <w:r w:rsidRPr="00152AB8">
        <w:rPr>
          <w:rFonts w:ascii="Calibri" w:eastAsia="Times New Roman" w:hAnsi="Calibri" w:cs="Times New Roman"/>
          <w:color w:val="3C3C3C"/>
          <w:sz w:val="24"/>
          <w:szCs w:val="24"/>
          <w:bdr w:val="none" w:sz="0" w:space="0" w:color="auto" w:frame="1"/>
          <w:shd w:val="clear" w:color="auto" w:fill="FFFFFF"/>
        </w:rPr>
        <w:lastRenderedPageBreak/>
        <w:t>Recent technological advances and innovations influencing the global market are included in the report.</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b/>
          <w:bCs/>
          <w:color w:val="3C3C3C"/>
          <w:sz w:val="24"/>
          <w:szCs w:val="24"/>
          <w:bdr w:val="none" w:sz="0" w:space="0" w:color="auto" w:frame="1"/>
          <w:shd w:val="clear" w:color="auto" w:fill="FFFFFF"/>
        </w:rPr>
        <w:t>About Prophecy Market Insights</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color w:val="3C3C3C"/>
          <w:sz w:val="24"/>
          <w:szCs w:val="24"/>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b/>
          <w:bCs/>
          <w:color w:val="3C3C3C"/>
          <w:sz w:val="24"/>
          <w:szCs w:val="24"/>
          <w:bdr w:val="none" w:sz="0" w:space="0" w:color="auto" w:frame="1"/>
          <w:shd w:val="clear" w:color="auto" w:fill="FFFFFF"/>
        </w:rPr>
        <w:t>Some Important Points Answered in this Market Report Are Given Below:</w:t>
      </w:r>
    </w:p>
    <w:p w:rsidR="00152AB8" w:rsidRPr="00152AB8" w:rsidRDefault="00152AB8" w:rsidP="00152AB8">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Explains an overview of the product portfolio, including product development, planning, and positioning</w:t>
      </w:r>
    </w:p>
    <w:p w:rsidR="00152AB8" w:rsidRPr="00152AB8" w:rsidRDefault="00152AB8" w:rsidP="00152AB8">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152AB8" w:rsidRPr="00152AB8" w:rsidRDefault="00152AB8" w:rsidP="00152AB8">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Detailed analysis of the market revenue over the forecasted period.</w:t>
      </w:r>
    </w:p>
    <w:p w:rsidR="00152AB8" w:rsidRPr="00152AB8" w:rsidRDefault="00152AB8" w:rsidP="00152AB8">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Examining various outlooks of the market with the help of Porter’s five forces analysis, PEST &amp; SWOT Analysis.</w:t>
      </w:r>
    </w:p>
    <w:p w:rsidR="00152AB8" w:rsidRPr="00152AB8" w:rsidRDefault="00152AB8" w:rsidP="00152AB8">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Study on the segments that are anticipated to dominate the market.</w:t>
      </w:r>
    </w:p>
    <w:p w:rsidR="00152AB8" w:rsidRPr="00152AB8" w:rsidRDefault="00152AB8" w:rsidP="00152AB8">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Study on the regional analysis that is expected to register the highest growth over the forecast period</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b/>
          <w:bCs/>
          <w:color w:val="3C3C3C"/>
          <w:sz w:val="24"/>
          <w:szCs w:val="24"/>
          <w:bdr w:val="none" w:sz="0" w:space="0" w:color="auto" w:frame="1"/>
          <w:shd w:val="clear" w:color="auto" w:fill="FFFFFF"/>
        </w:rPr>
        <w:t>Key Topics Covered</w:t>
      </w:r>
    </w:p>
    <w:p w:rsidR="00152AB8" w:rsidRPr="00152AB8" w:rsidRDefault="00152AB8" w:rsidP="00152AB8">
      <w:pPr>
        <w:numPr>
          <w:ilvl w:val="0"/>
          <w:numId w:val="4"/>
        </w:numPr>
        <w:shd w:val="clear" w:color="auto" w:fill="FFFFFF"/>
        <w:spacing w:after="0" w:line="240" w:lineRule="auto"/>
        <w:ind w:left="0"/>
        <w:jc w:val="both"/>
        <w:rPr>
          <w:rFonts w:ascii="Open Sans" w:eastAsia="Times New Roman" w:hAnsi="Open Sans" w:cs="Times New Roman"/>
          <w:color w:val="333333"/>
          <w:sz w:val="21"/>
          <w:szCs w:val="21"/>
        </w:rPr>
      </w:pPr>
      <w:r w:rsidRPr="00152AB8">
        <w:rPr>
          <w:rFonts w:ascii="Calibri" w:eastAsia="Times New Roman" w:hAnsi="Calibri" w:cs="Times New Roman"/>
          <w:b/>
          <w:bCs/>
          <w:color w:val="333333"/>
          <w:sz w:val="24"/>
          <w:szCs w:val="24"/>
          <w:bdr w:val="none" w:sz="0" w:space="0" w:color="auto" w:frame="1"/>
          <w:shd w:val="clear" w:color="auto" w:fill="FFFFFF"/>
        </w:rPr>
        <w:t>Introduction</w:t>
      </w:r>
    </w:p>
    <w:p w:rsidR="00152AB8" w:rsidRPr="00152AB8" w:rsidRDefault="00152AB8" w:rsidP="00152AB8">
      <w:pPr>
        <w:numPr>
          <w:ilvl w:val="0"/>
          <w:numId w:val="5"/>
        </w:numPr>
        <w:shd w:val="clear" w:color="auto" w:fill="FFFFFF"/>
        <w:spacing w:after="0" w:line="240" w:lineRule="auto"/>
        <w:ind w:left="10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Study Deliverables</w:t>
      </w:r>
    </w:p>
    <w:p w:rsidR="00152AB8" w:rsidRPr="00152AB8" w:rsidRDefault="00152AB8" w:rsidP="00152AB8">
      <w:pPr>
        <w:numPr>
          <w:ilvl w:val="0"/>
          <w:numId w:val="5"/>
        </w:numPr>
        <w:shd w:val="clear" w:color="auto" w:fill="FFFFFF"/>
        <w:spacing w:after="0" w:line="240" w:lineRule="auto"/>
        <w:ind w:left="10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Study Assumptions</w:t>
      </w:r>
    </w:p>
    <w:p w:rsidR="00152AB8" w:rsidRPr="00152AB8" w:rsidRDefault="00152AB8" w:rsidP="00152AB8">
      <w:pPr>
        <w:numPr>
          <w:ilvl w:val="0"/>
          <w:numId w:val="5"/>
        </w:numPr>
        <w:shd w:val="clear" w:color="auto" w:fill="FFFFFF"/>
        <w:spacing w:after="0" w:line="240" w:lineRule="auto"/>
        <w:ind w:left="10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Scope of the Study</w:t>
      </w:r>
    </w:p>
    <w:p w:rsidR="00152AB8" w:rsidRPr="00152AB8" w:rsidRDefault="00152AB8" w:rsidP="00152AB8">
      <w:pPr>
        <w:numPr>
          <w:ilvl w:val="0"/>
          <w:numId w:val="6"/>
        </w:numPr>
        <w:shd w:val="clear" w:color="auto" w:fill="FFFFFF"/>
        <w:spacing w:after="0" w:line="240" w:lineRule="auto"/>
        <w:ind w:left="0"/>
        <w:jc w:val="both"/>
        <w:rPr>
          <w:rFonts w:ascii="Open Sans" w:eastAsia="Times New Roman" w:hAnsi="Open Sans" w:cs="Times New Roman"/>
          <w:color w:val="333333"/>
          <w:sz w:val="21"/>
          <w:szCs w:val="21"/>
        </w:rPr>
      </w:pPr>
      <w:r w:rsidRPr="00152AB8">
        <w:rPr>
          <w:rFonts w:ascii="Calibri" w:eastAsia="Times New Roman" w:hAnsi="Calibri" w:cs="Times New Roman"/>
          <w:b/>
          <w:bCs/>
          <w:color w:val="333333"/>
          <w:sz w:val="24"/>
          <w:szCs w:val="24"/>
          <w:bdr w:val="none" w:sz="0" w:space="0" w:color="auto" w:frame="1"/>
          <w:shd w:val="clear" w:color="auto" w:fill="FFFFFF"/>
        </w:rPr>
        <w:t>Research Methodology</w:t>
      </w:r>
    </w:p>
    <w:p w:rsidR="00152AB8" w:rsidRPr="00152AB8" w:rsidRDefault="00152AB8" w:rsidP="00152AB8">
      <w:pPr>
        <w:numPr>
          <w:ilvl w:val="0"/>
          <w:numId w:val="6"/>
        </w:numPr>
        <w:shd w:val="clear" w:color="auto" w:fill="FFFFFF"/>
        <w:spacing w:after="0" w:line="240" w:lineRule="auto"/>
        <w:ind w:left="0"/>
        <w:jc w:val="both"/>
        <w:rPr>
          <w:rFonts w:ascii="Open Sans" w:eastAsia="Times New Roman" w:hAnsi="Open Sans" w:cs="Times New Roman"/>
          <w:color w:val="333333"/>
          <w:sz w:val="21"/>
          <w:szCs w:val="21"/>
        </w:rPr>
      </w:pPr>
      <w:r w:rsidRPr="00152AB8">
        <w:rPr>
          <w:rFonts w:ascii="Calibri" w:eastAsia="Times New Roman" w:hAnsi="Calibri" w:cs="Times New Roman"/>
          <w:b/>
          <w:bCs/>
          <w:color w:val="333333"/>
          <w:sz w:val="24"/>
          <w:szCs w:val="24"/>
          <w:bdr w:val="none" w:sz="0" w:space="0" w:color="auto" w:frame="1"/>
          <w:shd w:val="clear" w:color="auto" w:fill="FFFFFF"/>
        </w:rPr>
        <w:t>Executive Summary</w:t>
      </w:r>
    </w:p>
    <w:p w:rsidR="00152AB8" w:rsidRPr="00152AB8" w:rsidRDefault="00152AB8" w:rsidP="00152AB8">
      <w:pPr>
        <w:numPr>
          <w:ilvl w:val="0"/>
          <w:numId w:val="7"/>
        </w:numPr>
        <w:shd w:val="clear" w:color="auto" w:fill="FFFFFF"/>
        <w:spacing w:after="0" w:line="240" w:lineRule="auto"/>
        <w:ind w:left="10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Opportunity Map Analysis</w:t>
      </w:r>
    </w:p>
    <w:p w:rsidR="00152AB8" w:rsidRPr="00152AB8" w:rsidRDefault="00152AB8" w:rsidP="00152AB8">
      <w:pPr>
        <w:numPr>
          <w:ilvl w:val="0"/>
          <w:numId w:val="7"/>
        </w:numPr>
        <w:shd w:val="clear" w:color="auto" w:fill="FFFFFF"/>
        <w:spacing w:after="0" w:line="240" w:lineRule="auto"/>
        <w:ind w:left="10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Market at Glance</w:t>
      </w:r>
    </w:p>
    <w:p w:rsidR="00152AB8" w:rsidRPr="00152AB8" w:rsidRDefault="00152AB8" w:rsidP="00152AB8">
      <w:pPr>
        <w:numPr>
          <w:ilvl w:val="0"/>
          <w:numId w:val="7"/>
        </w:numPr>
        <w:shd w:val="clear" w:color="auto" w:fill="FFFFFF"/>
        <w:spacing w:after="0" w:line="240" w:lineRule="auto"/>
        <w:ind w:left="10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Market Share (%) and BPS Analysis, by Region</w:t>
      </w:r>
    </w:p>
    <w:p w:rsidR="00152AB8" w:rsidRPr="00152AB8" w:rsidRDefault="00152AB8" w:rsidP="00152AB8">
      <w:pPr>
        <w:numPr>
          <w:ilvl w:val="0"/>
          <w:numId w:val="7"/>
        </w:numPr>
        <w:shd w:val="clear" w:color="auto" w:fill="FFFFFF"/>
        <w:spacing w:after="0" w:line="240" w:lineRule="auto"/>
        <w:ind w:left="10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Competitive Landscape</w:t>
      </w:r>
    </w:p>
    <w:p w:rsidR="00152AB8" w:rsidRPr="00152AB8" w:rsidRDefault="00152AB8" w:rsidP="00152AB8">
      <w:pPr>
        <w:numPr>
          <w:ilvl w:val="0"/>
          <w:numId w:val="7"/>
        </w:numPr>
        <w:shd w:val="clear" w:color="auto" w:fill="FFFFFF"/>
        <w:spacing w:after="0" w:line="240" w:lineRule="auto"/>
        <w:ind w:left="10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Heat Map Analysis </w:t>
      </w:r>
    </w:p>
    <w:p w:rsidR="00152AB8" w:rsidRPr="00152AB8" w:rsidRDefault="00152AB8" w:rsidP="00152AB8">
      <w:pPr>
        <w:numPr>
          <w:ilvl w:val="0"/>
          <w:numId w:val="7"/>
        </w:numPr>
        <w:shd w:val="clear" w:color="auto" w:fill="FFFFFF"/>
        <w:spacing w:after="0" w:line="240" w:lineRule="auto"/>
        <w:ind w:left="1050"/>
        <w:jc w:val="both"/>
        <w:rPr>
          <w:rFonts w:ascii="Open Sans" w:eastAsia="Times New Roman" w:hAnsi="Open Sans" w:cs="Times New Roman"/>
          <w:color w:val="3C3C3C"/>
          <w:sz w:val="21"/>
          <w:szCs w:val="21"/>
        </w:rPr>
      </w:pPr>
      <w:r w:rsidRPr="00152AB8">
        <w:rPr>
          <w:rFonts w:ascii="Calibri" w:eastAsia="Times New Roman" w:hAnsi="Calibri" w:cs="Times New Roman"/>
          <w:color w:val="3C3C3C"/>
          <w:sz w:val="24"/>
          <w:szCs w:val="24"/>
          <w:bdr w:val="none" w:sz="0" w:space="0" w:color="auto" w:frame="1"/>
          <w:shd w:val="clear" w:color="auto" w:fill="FFFFFF"/>
        </w:rPr>
        <w:t>Market Presence and Specificity Analysis</w:t>
      </w:r>
    </w:p>
    <w:p w:rsidR="00152AB8" w:rsidRPr="00152AB8" w:rsidRDefault="00152AB8" w:rsidP="00152AB8">
      <w:pPr>
        <w:numPr>
          <w:ilvl w:val="0"/>
          <w:numId w:val="8"/>
        </w:numPr>
        <w:shd w:val="clear" w:color="auto" w:fill="FFFFFF"/>
        <w:spacing w:after="0" w:line="240" w:lineRule="auto"/>
        <w:ind w:left="0"/>
        <w:jc w:val="both"/>
        <w:rPr>
          <w:rFonts w:ascii="Open Sans" w:eastAsia="Times New Roman" w:hAnsi="Open Sans" w:cs="Times New Roman"/>
          <w:color w:val="333333"/>
          <w:sz w:val="21"/>
          <w:szCs w:val="21"/>
        </w:rPr>
      </w:pPr>
      <w:r w:rsidRPr="00152AB8">
        <w:rPr>
          <w:rFonts w:ascii="Calibri" w:eastAsia="Times New Roman" w:hAnsi="Calibri" w:cs="Times New Roman"/>
          <w:b/>
          <w:bCs/>
          <w:color w:val="333333"/>
          <w:sz w:val="24"/>
          <w:szCs w:val="24"/>
          <w:bdr w:val="none" w:sz="0" w:space="0" w:color="auto" w:frame="1"/>
          <w:shd w:val="clear" w:color="auto" w:fill="FFFFFF"/>
        </w:rPr>
        <w:t>Investment Analysis</w:t>
      </w:r>
    </w:p>
    <w:p w:rsidR="00152AB8" w:rsidRPr="00152AB8" w:rsidRDefault="00152AB8" w:rsidP="00152AB8">
      <w:pPr>
        <w:numPr>
          <w:ilvl w:val="0"/>
          <w:numId w:val="8"/>
        </w:numPr>
        <w:shd w:val="clear" w:color="auto" w:fill="FFFFFF"/>
        <w:spacing w:after="0" w:line="240" w:lineRule="auto"/>
        <w:ind w:left="0"/>
        <w:jc w:val="both"/>
        <w:rPr>
          <w:rFonts w:ascii="Open Sans" w:eastAsia="Times New Roman" w:hAnsi="Open Sans" w:cs="Times New Roman"/>
          <w:color w:val="333333"/>
          <w:sz w:val="21"/>
          <w:szCs w:val="21"/>
        </w:rPr>
      </w:pPr>
      <w:r w:rsidRPr="00152AB8">
        <w:rPr>
          <w:rFonts w:ascii="Calibri" w:eastAsia="Times New Roman" w:hAnsi="Calibri" w:cs="Times New Roman"/>
          <w:b/>
          <w:bCs/>
          <w:color w:val="333333"/>
          <w:sz w:val="24"/>
          <w:szCs w:val="24"/>
          <w:bdr w:val="none" w:sz="0" w:space="0" w:color="auto" w:frame="1"/>
          <w:shd w:val="clear" w:color="auto" w:fill="FFFFFF"/>
        </w:rPr>
        <w:t>Competitive Analysis</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b/>
          <w:bCs/>
          <w:color w:val="3C3C3C"/>
          <w:sz w:val="24"/>
          <w:szCs w:val="24"/>
          <w:bdr w:val="none" w:sz="0" w:space="0" w:color="auto" w:frame="1"/>
          <w:shd w:val="clear" w:color="auto" w:fill="FFFFFF"/>
        </w:rPr>
        <w:t>To know more</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b/>
          <w:bCs/>
          <w:color w:val="3C3C3C"/>
          <w:sz w:val="24"/>
          <w:szCs w:val="24"/>
          <w:bdr w:val="none" w:sz="0" w:space="0" w:color="auto" w:frame="1"/>
          <w:shd w:val="clear" w:color="auto" w:fill="FFFFFF"/>
        </w:rPr>
        <w:t>Contact Us:</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color w:val="3C3C3C"/>
          <w:sz w:val="24"/>
          <w:szCs w:val="24"/>
          <w:bdr w:val="none" w:sz="0" w:space="0" w:color="auto" w:frame="1"/>
          <w:shd w:val="clear" w:color="auto" w:fill="FFFFFF"/>
        </w:rPr>
        <w:t>Sales</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color w:val="3C3C3C"/>
          <w:sz w:val="24"/>
          <w:szCs w:val="24"/>
          <w:bdr w:val="none" w:sz="0" w:space="0" w:color="auto" w:frame="1"/>
          <w:shd w:val="clear" w:color="auto" w:fill="FFFFFF"/>
        </w:rPr>
        <w:t>Prophecy Market Insights</w:t>
      </w:r>
    </w:p>
    <w:p w:rsidR="00152AB8" w:rsidRPr="00152AB8" w:rsidRDefault="00152AB8" w:rsidP="00152AB8">
      <w:pPr>
        <w:shd w:val="clear" w:color="auto" w:fill="FFFFFF"/>
        <w:spacing w:after="0" w:line="240" w:lineRule="auto"/>
        <w:jc w:val="both"/>
        <w:rPr>
          <w:rFonts w:ascii="Open Sans" w:eastAsia="Times New Roman" w:hAnsi="Open Sans" w:cs="Times New Roman"/>
          <w:color w:val="3C3C3C"/>
          <w:sz w:val="23"/>
          <w:szCs w:val="23"/>
        </w:rPr>
      </w:pPr>
      <w:r w:rsidRPr="00152AB8">
        <w:rPr>
          <w:rFonts w:ascii="Calibri" w:eastAsia="Times New Roman" w:hAnsi="Calibri" w:cs="Times New Roman"/>
          <w:color w:val="3C3C3C"/>
          <w:sz w:val="24"/>
          <w:szCs w:val="24"/>
          <w:bdr w:val="none" w:sz="0" w:space="0" w:color="auto" w:frame="1"/>
          <w:shd w:val="clear" w:color="auto" w:fill="FFFFFF"/>
        </w:rPr>
        <w:t>Email- </w:t>
      </w:r>
      <w:hyperlink r:id="rId6" w:history="1">
        <w:r w:rsidRPr="00152AB8">
          <w:rPr>
            <w:rFonts w:ascii="Calibri" w:eastAsia="Times New Roman" w:hAnsi="Calibri" w:cs="Times New Roman"/>
            <w:color w:val="0070C0"/>
            <w:sz w:val="24"/>
            <w:szCs w:val="24"/>
            <w:u w:val="single"/>
            <w:bdr w:val="none" w:sz="0" w:space="0" w:color="auto" w:frame="1"/>
            <w:shd w:val="clear" w:color="auto" w:fill="FFFFFF"/>
          </w:rPr>
          <w:t>sales@prophecymarketinsights.com</w:t>
        </w:r>
      </w:hyperlink>
    </w:p>
    <w:p w:rsidR="00152AB8" w:rsidRDefault="00152AB8"/>
    <w:sectPr w:rsidR="00152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B50AF"/>
    <w:multiLevelType w:val="multilevel"/>
    <w:tmpl w:val="1D36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C4CBC"/>
    <w:multiLevelType w:val="multilevel"/>
    <w:tmpl w:val="278A5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E20805"/>
    <w:multiLevelType w:val="multilevel"/>
    <w:tmpl w:val="96DC0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817C86"/>
    <w:multiLevelType w:val="multilevel"/>
    <w:tmpl w:val="FD8A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F527F5"/>
    <w:multiLevelType w:val="multilevel"/>
    <w:tmpl w:val="354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813043"/>
    <w:multiLevelType w:val="multilevel"/>
    <w:tmpl w:val="491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8F6C32"/>
    <w:multiLevelType w:val="multilevel"/>
    <w:tmpl w:val="326E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F15418"/>
    <w:multiLevelType w:val="multilevel"/>
    <w:tmpl w:val="D20E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3"/>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B8"/>
    <w:rsid w:val="00141F5E"/>
    <w:rsid w:val="0015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D209B-1348-4420-9B69-8834D0BF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A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2AB8"/>
    <w:rPr>
      <w:i/>
      <w:iCs/>
    </w:rPr>
  </w:style>
  <w:style w:type="character" w:styleId="Strong">
    <w:name w:val="Strong"/>
    <w:basedOn w:val="DefaultParagraphFont"/>
    <w:uiPriority w:val="22"/>
    <w:qFormat/>
    <w:rsid w:val="00152AB8"/>
    <w:rPr>
      <w:b/>
      <w:bCs/>
    </w:rPr>
  </w:style>
  <w:style w:type="character" w:styleId="Hyperlink">
    <w:name w:val="Hyperlink"/>
    <w:basedOn w:val="DefaultParagraphFont"/>
    <w:uiPriority w:val="99"/>
    <w:semiHidden/>
    <w:unhideWhenUsed/>
    <w:rsid w:val="00152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845854">
      <w:bodyDiv w:val="1"/>
      <w:marLeft w:val="0"/>
      <w:marRight w:val="0"/>
      <w:marTop w:val="0"/>
      <w:marBottom w:val="0"/>
      <w:divBdr>
        <w:top w:val="none" w:sz="0" w:space="0" w:color="auto"/>
        <w:left w:val="none" w:sz="0" w:space="0" w:color="auto"/>
        <w:bottom w:val="none" w:sz="0" w:space="0" w:color="auto"/>
        <w:right w:val="none" w:sz="0" w:space="0" w:color="auto"/>
      </w:divBdr>
    </w:div>
    <w:div w:id="18962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prophecymarketinsights.com" TargetMode="External"/><Relationship Id="rId5" Type="http://schemas.openxmlformats.org/officeDocument/2006/relationships/hyperlink" Target="https://www.prophecymarketinsights.com/market_insight/Global-Health-Supplements-Market-44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1228</Words>
  <Characters>7000</Characters>
  <Application>Microsoft Office Word</Application>
  <DocSecurity>0</DocSecurity>
  <Lines>58</Lines>
  <Paragraphs>16</Paragraphs>
  <ScaleCrop>false</ScaleCrop>
  <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2022-07-12T09:45:00Z</dcterms:created>
  <dcterms:modified xsi:type="dcterms:W3CDTF">2022-07-12T09:47:00Z</dcterms:modified>
</cp:coreProperties>
</file>