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Global Nuclear Medicine Market accounted for US$ 4.26 billion and is estimated to be US$ 6.49 billion by 2030 with a CAGR of 4.30% during the forecast period. Nuclear medicine may be a medicine involving the appliance of radioactive substances within the diagnosis and treatment of disease. Medicine imaging, during a sense, is "radiology done inside out" or "</w:t>
      </w:r>
      <w:proofErr w:type="spellStart"/>
      <w:r>
        <w:rPr>
          <w:rFonts w:ascii="Calibri" w:hAnsi="Calibri"/>
          <w:color w:val="3C3C3C"/>
          <w:bdr w:val="none" w:sz="0" w:space="0" w:color="auto" w:frame="1"/>
          <w:shd w:val="clear" w:color="auto" w:fill="FFFFFF"/>
        </w:rPr>
        <w:t>endoradiology</w:t>
      </w:r>
      <w:proofErr w:type="spellEnd"/>
      <w:r>
        <w:rPr>
          <w:rFonts w:ascii="Calibri" w:hAnsi="Calibri"/>
          <w:color w:val="3C3C3C"/>
          <w:bdr w:val="none" w:sz="0" w:space="0" w:color="auto" w:frame="1"/>
          <w:shd w:val="clear" w:color="auto" w:fill="FFFFFF"/>
        </w:rPr>
        <w:t>" because it records radiation emitting from within the body instead of radiation that's generated by external sources like X-rays. Additionally, medicine scans differ from radiology, because the emphasis isn't on imaging anatomy, but on the function. For such reason, it's called a physiological imaging modality. Single photon emission computerized tomography (SPECT) and positron emission tomography (PET) scans are the 2 commonest imaging modalities in medicine.</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sz w:val="22"/>
          <w:szCs w:val="22"/>
          <w:bdr w:val="none" w:sz="0" w:space="0" w:color="auto" w:frame="1"/>
          <w:shd w:val="clear" w:color="auto" w:fill="FFFFFF"/>
        </w:rPr>
        <w:t>The report "</w:t>
      </w:r>
      <w:r>
        <w:rPr>
          <w:rStyle w:val="Strong"/>
          <w:rFonts w:ascii="Calibri" w:hAnsi="Calibri"/>
          <w:color w:val="3C3C3C"/>
          <w:sz w:val="22"/>
          <w:szCs w:val="22"/>
          <w:bdr w:val="none" w:sz="0" w:space="0" w:color="auto" w:frame="1"/>
          <w:shd w:val="clear" w:color="auto" w:fill="FFFFFF"/>
        </w:rPr>
        <w:t> Global Nuclear Medicine Market, By Diagnostics (Single Photon Emission, Computed Tomography (SPECT), and Positron Emission Tomography (PET)), By Therapeutics (Alpha Emitters, Beta Emitters, and Brachytherapy), By Applications (Cardiology, Neurology, Oncology, and Other Applications), and By Region (North America, Europe, Asia Pacific, Latin America, and Middle East &amp; Africa) - Trends, Analysis and Forecast till 2030”</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8C43AD" w:rsidRDefault="008C43AD" w:rsidP="008C43AD">
      <w:pPr>
        <w:numPr>
          <w:ilvl w:val="0"/>
          <w:numId w:val="2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In 2021, Penn Medicine’s clinical, operational, and research and clinical capabilities, the health system is launching the Center for Applied Health Informatics to better facilitate and coordinate health data projects across the health system and grow its leadership in health informatics globally.</w:t>
      </w:r>
    </w:p>
    <w:p w:rsidR="008C43AD" w:rsidRDefault="008C43AD" w:rsidP="008C43AD">
      <w:pPr>
        <w:numPr>
          <w:ilvl w:val="0"/>
          <w:numId w:val="2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2021, </w:t>
      </w:r>
      <w:proofErr w:type="spellStart"/>
      <w:r>
        <w:rPr>
          <w:rFonts w:ascii="Calibri" w:hAnsi="Calibri"/>
          <w:color w:val="3C3C3C"/>
          <w:bdr w:val="none" w:sz="0" w:space="0" w:color="auto" w:frame="1"/>
          <w:shd w:val="clear" w:color="auto" w:fill="FFFFFF"/>
        </w:rPr>
        <w:t>Lantheus</w:t>
      </w:r>
      <w:proofErr w:type="spellEnd"/>
      <w:r>
        <w:rPr>
          <w:rFonts w:ascii="Calibri" w:hAnsi="Calibri"/>
          <w:color w:val="3C3C3C"/>
          <w:bdr w:val="none" w:sz="0" w:space="0" w:color="auto" w:frame="1"/>
          <w:shd w:val="clear" w:color="auto" w:fill="FFFFFF"/>
        </w:rPr>
        <w:t xml:space="preserve"> Holdings, Inc. (NASDAQ: LNTH) (</w:t>
      </w:r>
      <w:proofErr w:type="spellStart"/>
      <w:r>
        <w:rPr>
          <w:rFonts w:ascii="Calibri" w:hAnsi="Calibri"/>
          <w:color w:val="3C3C3C"/>
          <w:bdr w:val="none" w:sz="0" w:space="0" w:color="auto" w:frame="1"/>
          <w:shd w:val="clear" w:color="auto" w:fill="FFFFFF"/>
        </w:rPr>
        <w:t>Lantheus</w:t>
      </w:r>
      <w:proofErr w:type="spellEnd"/>
      <w:r>
        <w:rPr>
          <w:rFonts w:ascii="Calibri" w:hAnsi="Calibri"/>
          <w:color w:val="3C3C3C"/>
          <w:bdr w:val="none" w:sz="0" w:space="0" w:color="auto" w:frame="1"/>
          <w:shd w:val="clear" w:color="auto" w:fill="FFFFFF"/>
        </w:rPr>
        <w:t xml:space="preserve">) announced that its subsidiary, EXINI Diagnostics AB, was granted 510(k) clearance by the U.S. Food and Drug Administration (FDA) for its digital application, </w:t>
      </w:r>
      <w:proofErr w:type="spellStart"/>
      <w:r>
        <w:rPr>
          <w:rFonts w:ascii="Calibri" w:hAnsi="Calibri"/>
          <w:color w:val="3C3C3C"/>
          <w:bdr w:val="none" w:sz="0" w:space="0" w:color="auto" w:frame="1"/>
          <w:shd w:val="clear" w:color="auto" w:fill="FFFFFF"/>
        </w:rPr>
        <w:t>aPROMISE</w:t>
      </w:r>
      <w:proofErr w:type="spellEnd"/>
      <w:r>
        <w:rPr>
          <w:rFonts w:ascii="Calibri" w:hAnsi="Calibri"/>
          <w:color w:val="3C3C3C"/>
          <w:bdr w:val="none" w:sz="0" w:space="0" w:color="auto" w:frame="1"/>
          <w:shd w:val="clear" w:color="auto" w:fill="FFFFFF"/>
        </w:rPr>
        <w:t xml:space="preserve">™ (automated </w:t>
      </w:r>
      <w:proofErr w:type="spellStart"/>
      <w:r>
        <w:rPr>
          <w:rFonts w:ascii="Calibri" w:hAnsi="Calibri"/>
          <w:color w:val="3C3C3C"/>
          <w:bdr w:val="none" w:sz="0" w:space="0" w:color="auto" w:frame="1"/>
          <w:shd w:val="clear" w:color="auto" w:fill="FFFFFF"/>
        </w:rPr>
        <w:t>PROstate</w:t>
      </w:r>
      <w:proofErr w:type="spellEnd"/>
      <w:r>
        <w:rPr>
          <w:rFonts w:ascii="Calibri" w:hAnsi="Calibri"/>
          <w:color w:val="3C3C3C"/>
          <w:bdr w:val="none" w:sz="0" w:space="0" w:color="auto" w:frame="1"/>
          <w:shd w:val="clear" w:color="auto" w:fill="FFFFFF"/>
        </w:rPr>
        <w:t xml:space="preserve"> Cancer Molecular Imaging Standardized Evaluation).</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Analyst View:</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Nuclear medicine shows a huge potential in treating cardiac and cancer diseases. Several factors are poised to augment the demand for nuclear medicine, but none bigger than the growing prevalence of cancer and cardiac disorders. Advances in radiotracers, the advent of alpha </w:t>
      </w:r>
      <w:proofErr w:type="spellStart"/>
      <w:r>
        <w:rPr>
          <w:rFonts w:ascii="Calibri" w:hAnsi="Calibri"/>
          <w:color w:val="3C3C3C"/>
          <w:bdr w:val="none" w:sz="0" w:space="0" w:color="auto" w:frame="1"/>
          <w:shd w:val="clear" w:color="auto" w:fill="FFFFFF"/>
        </w:rPr>
        <w:t>radioimmunotherapy</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Rit</w:t>
      </w:r>
      <w:proofErr w:type="spellEnd"/>
      <w:r>
        <w:rPr>
          <w:rFonts w:ascii="Calibri" w:hAnsi="Calibri"/>
          <w:color w:val="3C3C3C"/>
          <w:bdr w:val="none" w:sz="0" w:space="0" w:color="auto" w:frame="1"/>
          <w:shd w:val="clear" w:color="auto" w:fill="FFFFFF"/>
        </w:rPr>
        <w:t>)-based targeted cancer treatments, and investments via public and private partnerships to revolutionize diagnostic measures are some of the other factors expected to drive the demand for the target market shortly.</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shd w:val="clear" w:color="auto" w:fill="FFFFFF"/>
        </w:rPr>
        <w:t>Browse 60 market data tables* and 35 figures* through 140 slides and in-depth TOC on “Global Nuclear Medicine Market, By Diagnostics (Single Photon Emission, Computed Tomography (SPECT), and Positron Emission Tomography (PET)), By Therapeutics (Alpha Emitters, Beta Emitters, and Brachytherapy), By Applications (Cardiology, Neurology, Oncology, and Other Applications), and By Region (North America, Europe, Asia Pacific, Latin America, and Middle East &amp; Africa) - Trends, Analysis and Forecast till 2030”</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3"/>
          <w:szCs w:val="23"/>
          <w:bdr w:val="none" w:sz="0" w:space="0" w:color="auto" w:frame="1"/>
          <w:shd w:val="clear" w:color="auto" w:fill="FFFFFF"/>
        </w:rPr>
        <w:t>To know the upcoming trends and insights prevalent in this market, click the link below</w:t>
      </w:r>
      <w:r>
        <w:rPr>
          <w:rStyle w:val="Strong"/>
          <w:rFonts w:ascii="Calibri" w:hAnsi="Calibri"/>
          <w:i/>
          <w:iCs/>
          <w:color w:val="80819F"/>
          <w:sz w:val="23"/>
          <w:szCs w:val="23"/>
          <w:bdr w:val="none" w:sz="0" w:space="0" w:color="auto" w:frame="1"/>
          <w:shd w:val="clear" w:color="auto" w:fill="FFFFFF"/>
        </w:rPr>
        <w:t>:</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hyperlink r:id="rId5" w:history="1">
        <w:r>
          <w:rPr>
            <w:rStyle w:val="Emphasis"/>
            <w:rFonts w:ascii="Calibri" w:hAnsi="Calibri"/>
            <w:color w:val="80819F"/>
            <w:bdr w:val="none" w:sz="0" w:space="0" w:color="auto" w:frame="1"/>
            <w:shd w:val="clear" w:color="auto" w:fill="FFFFFF"/>
          </w:rPr>
          <w:t>https://www.prophecymarketinsights.com/market_insight/Global-Nuclear-Medicine-Market-By-3827#</w:t>
        </w:r>
      </w:hyperlink>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Global Nuclear Medicine Market accounted for US$ 4.26 billion and is estimated to be US$ 6.49 billion by 2030 with a CAGR of 4.30% during the forecast period. </w:t>
      </w:r>
      <w:r>
        <w:rPr>
          <w:rFonts w:ascii="Calibri" w:hAnsi="Calibri"/>
          <w:color w:val="3C3C3C"/>
          <w:sz w:val="22"/>
          <w:szCs w:val="22"/>
          <w:bdr w:val="none" w:sz="0" w:space="0" w:color="auto" w:frame="1"/>
          <w:shd w:val="clear" w:color="auto" w:fill="FFFFFF"/>
        </w:rPr>
        <w:t>The nuclear medicine market is segmented by diagnostics, by therapeutics, by applications, and by regions.</w:t>
      </w:r>
    </w:p>
    <w:p w:rsidR="008C43AD" w:rsidRDefault="008C43AD" w:rsidP="008C43AD">
      <w:pPr>
        <w:numPr>
          <w:ilvl w:val="0"/>
          <w:numId w:val="2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On the basis of Diagnostics, the Global Nuclear Medicine Market is segmented into Single Photon Emission, Computed Tomography (SPECT), and Positron Emission Tomography (PET).</w:t>
      </w:r>
    </w:p>
    <w:p w:rsidR="008C43AD" w:rsidRDefault="008C43AD" w:rsidP="008C43AD">
      <w:pPr>
        <w:numPr>
          <w:ilvl w:val="0"/>
          <w:numId w:val="2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lastRenderedPageBreak/>
        <w:t>On the basis of Therapeutics, the target market is segmented into Alpha Emitters, Beta Emitters, and Brachytherapy.</w:t>
      </w:r>
    </w:p>
    <w:p w:rsidR="008C43AD" w:rsidRDefault="008C43AD" w:rsidP="008C43AD">
      <w:pPr>
        <w:numPr>
          <w:ilvl w:val="0"/>
          <w:numId w:val="2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Based on Applications, the global market is classified into Cardiology, Neurology, Oncology, and Other Applications.</w:t>
      </w:r>
    </w:p>
    <w:p w:rsidR="008C43AD" w:rsidRDefault="008C43AD" w:rsidP="008C43AD">
      <w:pPr>
        <w:numPr>
          <w:ilvl w:val="0"/>
          <w:numId w:val="2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Based on region the Global Nuclear Medicine Market is segmented into North America, Europe, Asia Pacific, Latin America, and Middle East &amp; Africa. The global market in North America region is seen to have a matured growth since this market correlates with the increasing growth rate of cancer.</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Competitive Landscape:</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The key players operating the global nuclear medicine market involves Eckert &amp; Ziegler Group, Mallinckrodt Pharmaceuticals, GE Healthcare; Jubilant Life Sciences; </w:t>
      </w:r>
      <w:proofErr w:type="spellStart"/>
      <w:r>
        <w:rPr>
          <w:rFonts w:ascii="Calibri" w:hAnsi="Calibri"/>
          <w:color w:val="3C3C3C"/>
          <w:bdr w:val="none" w:sz="0" w:space="0" w:color="auto" w:frame="1"/>
          <w:shd w:val="clear" w:color="auto" w:fill="FFFFFF"/>
        </w:rPr>
        <w:t>Bracco</w:t>
      </w:r>
      <w:proofErr w:type="spellEnd"/>
      <w:r>
        <w:rPr>
          <w:rFonts w:ascii="Calibri" w:hAnsi="Calibri"/>
          <w:color w:val="3C3C3C"/>
          <w:bdr w:val="none" w:sz="0" w:space="0" w:color="auto" w:frame="1"/>
          <w:shd w:val="clear" w:color="auto" w:fill="FFFFFF"/>
        </w:rPr>
        <w:t xml:space="preserve"> Imaging </w:t>
      </w:r>
      <w:proofErr w:type="spellStart"/>
      <w:r>
        <w:rPr>
          <w:rFonts w:ascii="Calibri" w:hAnsi="Calibri"/>
          <w:color w:val="3C3C3C"/>
          <w:bdr w:val="none" w:sz="0" w:space="0" w:color="auto" w:frame="1"/>
          <w:shd w:val="clear" w:color="auto" w:fill="FFFFFF"/>
        </w:rPr>
        <w:t>S.p.A</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Nordion</w:t>
      </w:r>
      <w:proofErr w:type="spellEnd"/>
      <w:r>
        <w:rPr>
          <w:rFonts w:ascii="Calibri" w:hAnsi="Calibri"/>
          <w:color w:val="3C3C3C"/>
          <w:bdr w:val="none" w:sz="0" w:space="0" w:color="auto" w:frame="1"/>
          <w:shd w:val="clear" w:color="auto" w:fill="FFFFFF"/>
        </w:rPr>
        <w:t xml:space="preserve">, Inc., The Institute of Radioelements, Australian Nuclear Science &amp; Technology Organization (ANSTO), NTP Radioisotopes SOC Ltd., and </w:t>
      </w:r>
      <w:proofErr w:type="spellStart"/>
      <w:r>
        <w:rPr>
          <w:rFonts w:ascii="Calibri" w:hAnsi="Calibri"/>
          <w:color w:val="3C3C3C"/>
          <w:bdr w:val="none" w:sz="0" w:space="0" w:color="auto" w:frame="1"/>
          <w:shd w:val="clear" w:color="auto" w:fill="FFFFFF"/>
        </w:rPr>
        <w:t>Eczacibasi</w:t>
      </w:r>
      <w:proofErr w:type="spellEnd"/>
      <w:r>
        <w:rPr>
          <w:rFonts w:ascii="Calibri" w:hAnsi="Calibri"/>
          <w:color w:val="3C3C3C"/>
          <w:bdr w:val="none" w:sz="0" w:space="0" w:color="auto" w:frame="1"/>
          <w:shd w:val="clear" w:color="auto" w:fill="FFFFFF"/>
        </w:rPr>
        <w:t>-Monroe.</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About Prophecy Market Insights</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Some Important Points Answered in this Market Report Are Given Below:</w:t>
      </w:r>
    </w:p>
    <w:p w:rsidR="008C43AD" w:rsidRDefault="008C43AD" w:rsidP="008C43AD">
      <w:pPr>
        <w:numPr>
          <w:ilvl w:val="0"/>
          <w:numId w:val="2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an overview of the product portfolio, including product development, planning, and positioning</w:t>
      </w:r>
    </w:p>
    <w:p w:rsidR="008C43AD" w:rsidRDefault="008C43AD" w:rsidP="008C43AD">
      <w:pPr>
        <w:numPr>
          <w:ilvl w:val="0"/>
          <w:numId w:val="2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8C43AD" w:rsidRDefault="008C43AD" w:rsidP="008C43AD">
      <w:pPr>
        <w:numPr>
          <w:ilvl w:val="0"/>
          <w:numId w:val="2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Detailed analysis of the market revenue over the forecasted period.</w:t>
      </w:r>
    </w:p>
    <w:p w:rsidR="008C43AD" w:rsidRDefault="008C43AD" w:rsidP="008C43AD">
      <w:pPr>
        <w:numPr>
          <w:ilvl w:val="0"/>
          <w:numId w:val="2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Examining various outlooks of the market with the help of Porter’s five forces analysis, PEST &amp; SWOT Analysis.</w:t>
      </w:r>
    </w:p>
    <w:p w:rsidR="008C43AD" w:rsidRDefault="008C43AD" w:rsidP="008C43AD">
      <w:pPr>
        <w:numPr>
          <w:ilvl w:val="0"/>
          <w:numId w:val="2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segments that are anticipated to dominate the market.</w:t>
      </w:r>
    </w:p>
    <w:p w:rsidR="008C43AD" w:rsidRDefault="008C43AD" w:rsidP="008C43AD">
      <w:pPr>
        <w:numPr>
          <w:ilvl w:val="0"/>
          <w:numId w:val="2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regional analysis that is expected to register the highest growth over the forecast period </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Topics Covered</w:t>
      </w:r>
    </w:p>
    <w:p w:rsidR="008C43AD" w:rsidRDefault="008C43AD" w:rsidP="008C43AD">
      <w:pPr>
        <w:numPr>
          <w:ilvl w:val="0"/>
          <w:numId w:val="28"/>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Introduction</w:t>
      </w:r>
    </w:p>
    <w:p w:rsidR="008C43AD" w:rsidRDefault="008C43AD" w:rsidP="008C43AD">
      <w:pPr>
        <w:numPr>
          <w:ilvl w:val="0"/>
          <w:numId w:val="29"/>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Deliverables</w:t>
      </w:r>
    </w:p>
    <w:p w:rsidR="008C43AD" w:rsidRDefault="008C43AD" w:rsidP="008C43AD">
      <w:pPr>
        <w:numPr>
          <w:ilvl w:val="0"/>
          <w:numId w:val="29"/>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Assumptions</w:t>
      </w:r>
    </w:p>
    <w:p w:rsidR="008C43AD" w:rsidRDefault="008C43AD" w:rsidP="008C43AD">
      <w:pPr>
        <w:numPr>
          <w:ilvl w:val="0"/>
          <w:numId w:val="29"/>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Scope of the Study</w:t>
      </w:r>
    </w:p>
    <w:p w:rsidR="008C43AD" w:rsidRDefault="008C43AD" w:rsidP="008C43AD">
      <w:pPr>
        <w:numPr>
          <w:ilvl w:val="0"/>
          <w:numId w:val="30"/>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Research Methodology</w:t>
      </w:r>
    </w:p>
    <w:p w:rsidR="008C43AD" w:rsidRDefault="008C43AD" w:rsidP="008C43AD">
      <w:pPr>
        <w:numPr>
          <w:ilvl w:val="0"/>
          <w:numId w:val="30"/>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Executive Summary</w:t>
      </w:r>
    </w:p>
    <w:p w:rsidR="008C43AD" w:rsidRDefault="008C43AD" w:rsidP="008C43AD">
      <w:pPr>
        <w:numPr>
          <w:ilvl w:val="0"/>
          <w:numId w:val="3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Opportunity Map Analysis</w:t>
      </w:r>
    </w:p>
    <w:p w:rsidR="008C43AD" w:rsidRDefault="008C43AD" w:rsidP="008C43AD">
      <w:pPr>
        <w:numPr>
          <w:ilvl w:val="0"/>
          <w:numId w:val="3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at Glance</w:t>
      </w:r>
    </w:p>
    <w:p w:rsidR="008C43AD" w:rsidRDefault="008C43AD" w:rsidP="008C43AD">
      <w:pPr>
        <w:numPr>
          <w:ilvl w:val="0"/>
          <w:numId w:val="3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Share (%) and BPS Analysis, by Region</w:t>
      </w:r>
    </w:p>
    <w:p w:rsidR="008C43AD" w:rsidRDefault="008C43AD" w:rsidP="008C43AD">
      <w:pPr>
        <w:numPr>
          <w:ilvl w:val="0"/>
          <w:numId w:val="3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lastRenderedPageBreak/>
        <w:t>Competitive Landscape</w:t>
      </w:r>
    </w:p>
    <w:p w:rsidR="008C43AD" w:rsidRDefault="008C43AD" w:rsidP="008C43AD">
      <w:pPr>
        <w:numPr>
          <w:ilvl w:val="0"/>
          <w:numId w:val="3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Heat Map Analysis </w:t>
      </w:r>
    </w:p>
    <w:p w:rsidR="008C43AD" w:rsidRDefault="008C43AD" w:rsidP="008C43AD">
      <w:pPr>
        <w:numPr>
          <w:ilvl w:val="0"/>
          <w:numId w:val="3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Presence and Specificity Analysis</w:t>
      </w:r>
    </w:p>
    <w:p w:rsidR="008C43AD" w:rsidRDefault="008C43AD" w:rsidP="008C43AD">
      <w:pPr>
        <w:numPr>
          <w:ilvl w:val="0"/>
          <w:numId w:val="32"/>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Investment Analysis</w:t>
      </w:r>
    </w:p>
    <w:p w:rsidR="008C43AD" w:rsidRDefault="008C43AD" w:rsidP="008C43AD">
      <w:pPr>
        <w:numPr>
          <w:ilvl w:val="0"/>
          <w:numId w:val="32"/>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Competitive Analysis</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To know more</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Contact Us:</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Sales</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w:t>
      </w:r>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hyperlink r:id="rId6" w:history="1">
        <w:r>
          <w:rPr>
            <w:rStyle w:val="Hyperlink"/>
            <w:rFonts w:ascii="Calibri" w:hAnsi="Calibri"/>
            <w:color w:val="80819F"/>
            <w:sz w:val="23"/>
            <w:szCs w:val="23"/>
            <w:bdr w:val="none" w:sz="0" w:space="0" w:color="auto" w:frame="1"/>
            <w:shd w:val="clear" w:color="auto" w:fill="F5F5F5"/>
          </w:rPr>
          <w:t>  1 860 531 2701</w:t>
        </w:r>
      </w:hyperlink>
    </w:p>
    <w:p w:rsidR="008C43AD" w:rsidRDefault="008C43AD" w:rsidP="008C43AD">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Email- </w:t>
      </w:r>
      <w:hyperlink r:id="rId7" w:history="1">
        <w:r>
          <w:rPr>
            <w:rStyle w:val="Hyperlink"/>
            <w:rFonts w:ascii="Calibri" w:hAnsi="Calibri"/>
            <w:color w:val="0070C0"/>
            <w:bdr w:val="none" w:sz="0" w:space="0" w:color="auto" w:frame="1"/>
            <w:shd w:val="clear" w:color="auto" w:fill="F5F5F5"/>
          </w:rPr>
          <w:t>sales@prophecymarketinsights.com</w:t>
        </w:r>
      </w:hyperlink>
    </w:p>
    <w:p w:rsidR="00297215" w:rsidRPr="008C43AD" w:rsidRDefault="00297215" w:rsidP="008C43AD">
      <w:bookmarkStart w:id="0" w:name="_GoBack"/>
      <w:bookmarkEnd w:id="0"/>
    </w:p>
    <w:sectPr w:rsidR="00297215" w:rsidRPr="008C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3CF2"/>
    <w:multiLevelType w:val="multilevel"/>
    <w:tmpl w:val="7FB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F1BE5"/>
    <w:multiLevelType w:val="multilevel"/>
    <w:tmpl w:val="A5FC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55E0B"/>
    <w:multiLevelType w:val="multilevel"/>
    <w:tmpl w:val="40044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703675"/>
    <w:multiLevelType w:val="multilevel"/>
    <w:tmpl w:val="C18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C5119"/>
    <w:multiLevelType w:val="multilevel"/>
    <w:tmpl w:val="ECC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821DA"/>
    <w:multiLevelType w:val="multilevel"/>
    <w:tmpl w:val="C1B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51017"/>
    <w:multiLevelType w:val="multilevel"/>
    <w:tmpl w:val="E5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962AE"/>
    <w:multiLevelType w:val="multilevel"/>
    <w:tmpl w:val="16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227A01"/>
    <w:multiLevelType w:val="multilevel"/>
    <w:tmpl w:val="8534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8D4AC9"/>
    <w:multiLevelType w:val="multilevel"/>
    <w:tmpl w:val="7B3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C27EA"/>
    <w:multiLevelType w:val="multilevel"/>
    <w:tmpl w:val="DC5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91A24"/>
    <w:multiLevelType w:val="multilevel"/>
    <w:tmpl w:val="34E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8B31D3"/>
    <w:multiLevelType w:val="multilevel"/>
    <w:tmpl w:val="64A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04428A"/>
    <w:multiLevelType w:val="multilevel"/>
    <w:tmpl w:val="B3C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A4528"/>
    <w:multiLevelType w:val="multilevel"/>
    <w:tmpl w:val="B15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812CB2"/>
    <w:multiLevelType w:val="multilevel"/>
    <w:tmpl w:val="ED9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A35B6E"/>
    <w:multiLevelType w:val="multilevel"/>
    <w:tmpl w:val="A4F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654967"/>
    <w:multiLevelType w:val="multilevel"/>
    <w:tmpl w:val="7F240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1C08F5"/>
    <w:multiLevelType w:val="multilevel"/>
    <w:tmpl w:val="8F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0277D9"/>
    <w:multiLevelType w:val="multilevel"/>
    <w:tmpl w:val="1BC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9A4A69"/>
    <w:multiLevelType w:val="multilevel"/>
    <w:tmpl w:val="DDD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2F5291"/>
    <w:multiLevelType w:val="multilevel"/>
    <w:tmpl w:val="ADEE3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A72508"/>
    <w:multiLevelType w:val="multilevel"/>
    <w:tmpl w:val="A21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1D4B1E"/>
    <w:multiLevelType w:val="multilevel"/>
    <w:tmpl w:val="13A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622798"/>
    <w:multiLevelType w:val="multilevel"/>
    <w:tmpl w:val="4FA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337757"/>
    <w:multiLevelType w:val="multilevel"/>
    <w:tmpl w:val="0AD2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305FAB"/>
    <w:multiLevelType w:val="multilevel"/>
    <w:tmpl w:val="E48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F01D3E"/>
    <w:multiLevelType w:val="multilevel"/>
    <w:tmpl w:val="38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701052"/>
    <w:multiLevelType w:val="multilevel"/>
    <w:tmpl w:val="A5C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7C7401"/>
    <w:multiLevelType w:val="multilevel"/>
    <w:tmpl w:val="4B16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865069"/>
    <w:multiLevelType w:val="multilevel"/>
    <w:tmpl w:val="26282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814AFD"/>
    <w:multiLevelType w:val="multilevel"/>
    <w:tmpl w:val="021AF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7"/>
  </w:num>
  <w:num w:numId="3">
    <w:abstractNumId w:val="9"/>
  </w:num>
  <w:num w:numId="4">
    <w:abstractNumId w:val="16"/>
  </w:num>
  <w:num w:numId="5">
    <w:abstractNumId w:val="12"/>
  </w:num>
  <w:num w:numId="6">
    <w:abstractNumId w:val="3"/>
  </w:num>
  <w:num w:numId="7">
    <w:abstractNumId w:val="20"/>
  </w:num>
  <w:num w:numId="8">
    <w:abstractNumId w:val="18"/>
  </w:num>
  <w:num w:numId="9">
    <w:abstractNumId w:val="21"/>
  </w:num>
  <w:num w:numId="10">
    <w:abstractNumId w:val="4"/>
  </w:num>
  <w:num w:numId="11">
    <w:abstractNumId w:val="30"/>
  </w:num>
  <w:num w:numId="12">
    <w:abstractNumId w:val="15"/>
  </w:num>
  <w:num w:numId="13">
    <w:abstractNumId w:val="6"/>
  </w:num>
  <w:num w:numId="14">
    <w:abstractNumId w:val="22"/>
  </w:num>
  <w:num w:numId="15">
    <w:abstractNumId w:val="10"/>
  </w:num>
  <w:num w:numId="16">
    <w:abstractNumId w:val="28"/>
  </w:num>
  <w:num w:numId="17">
    <w:abstractNumId w:val="29"/>
  </w:num>
  <w:num w:numId="18">
    <w:abstractNumId w:val="7"/>
  </w:num>
  <w:num w:numId="19">
    <w:abstractNumId w:val="2"/>
  </w:num>
  <w:num w:numId="20">
    <w:abstractNumId w:val="5"/>
  </w:num>
  <w:num w:numId="21">
    <w:abstractNumId w:val="25"/>
  </w:num>
  <w:num w:numId="22">
    <w:abstractNumId w:val="14"/>
  </w:num>
  <w:num w:numId="23">
    <w:abstractNumId w:val="23"/>
  </w:num>
  <w:num w:numId="24">
    <w:abstractNumId w:val="13"/>
  </w:num>
  <w:num w:numId="25">
    <w:abstractNumId w:val="0"/>
  </w:num>
  <w:num w:numId="26">
    <w:abstractNumId w:val="19"/>
  </w:num>
  <w:num w:numId="27">
    <w:abstractNumId w:val="1"/>
  </w:num>
  <w:num w:numId="28">
    <w:abstractNumId w:val="8"/>
  </w:num>
  <w:num w:numId="29">
    <w:abstractNumId w:val="26"/>
  </w:num>
  <w:num w:numId="30">
    <w:abstractNumId w:val="31"/>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CA"/>
    <w:rsid w:val="00030ACA"/>
    <w:rsid w:val="00297215"/>
    <w:rsid w:val="002F6326"/>
    <w:rsid w:val="0032634F"/>
    <w:rsid w:val="005621C5"/>
    <w:rsid w:val="005B39A2"/>
    <w:rsid w:val="00822848"/>
    <w:rsid w:val="008C43AD"/>
    <w:rsid w:val="009B1A6C"/>
    <w:rsid w:val="00E1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F84F-F299-4A07-A4C6-8D82B561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ACA"/>
    <w:rPr>
      <w:b/>
      <w:bCs/>
    </w:rPr>
  </w:style>
  <w:style w:type="character" w:styleId="Emphasis">
    <w:name w:val="Emphasis"/>
    <w:basedOn w:val="DefaultParagraphFont"/>
    <w:uiPriority w:val="20"/>
    <w:qFormat/>
    <w:rsid w:val="00030ACA"/>
    <w:rPr>
      <w:i/>
      <w:iCs/>
    </w:rPr>
  </w:style>
  <w:style w:type="character" w:styleId="Hyperlink">
    <w:name w:val="Hyperlink"/>
    <w:basedOn w:val="DefaultParagraphFont"/>
    <w:uiPriority w:val="99"/>
    <w:semiHidden/>
    <w:unhideWhenUsed/>
    <w:rsid w:val="00030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612">
      <w:bodyDiv w:val="1"/>
      <w:marLeft w:val="0"/>
      <w:marRight w:val="0"/>
      <w:marTop w:val="0"/>
      <w:marBottom w:val="0"/>
      <w:divBdr>
        <w:top w:val="none" w:sz="0" w:space="0" w:color="auto"/>
        <w:left w:val="none" w:sz="0" w:space="0" w:color="auto"/>
        <w:bottom w:val="none" w:sz="0" w:space="0" w:color="auto"/>
        <w:right w:val="none" w:sz="0" w:space="0" w:color="auto"/>
      </w:divBdr>
    </w:div>
    <w:div w:id="963998434">
      <w:bodyDiv w:val="1"/>
      <w:marLeft w:val="0"/>
      <w:marRight w:val="0"/>
      <w:marTop w:val="0"/>
      <w:marBottom w:val="0"/>
      <w:divBdr>
        <w:top w:val="none" w:sz="0" w:space="0" w:color="auto"/>
        <w:left w:val="none" w:sz="0" w:space="0" w:color="auto"/>
        <w:bottom w:val="none" w:sz="0" w:space="0" w:color="auto"/>
        <w:right w:val="none" w:sz="0" w:space="0" w:color="auto"/>
      </w:divBdr>
    </w:div>
    <w:div w:id="967706164">
      <w:bodyDiv w:val="1"/>
      <w:marLeft w:val="0"/>
      <w:marRight w:val="0"/>
      <w:marTop w:val="0"/>
      <w:marBottom w:val="0"/>
      <w:divBdr>
        <w:top w:val="none" w:sz="0" w:space="0" w:color="auto"/>
        <w:left w:val="none" w:sz="0" w:space="0" w:color="auto"/>
        <w:bottom w:val="none" w:sz="0" w:space="0" w:color="auto"/>
        <w:right w:val="none" w:sz="0" w:space="0" w:color="auto"/>
      </w:divBdr>
    </w:div>
    <w:div w:id="1047996393">
      <w:bodyDiv w:val="1"/>
      <w:marLeft w:val="0"/>
      <w:marRight w:val="0"/>
      <w:marTop w:val="0"/>
      <w:marBottom w:val="0"/>
      <w:divBdr>
        <w:top w:val="none" w:sz="0" w:space="0" w:color="auto"/>
        <w:left w:val="none" w:sz="0" w:space="0" w:color="auto"/>
        <w:bottom w:val="none" w:sz="0" w:space="0" w:color="auto"/>
        <w:right w:val="none" w:sz="0" w:space="0" w:color="auto"/>
      </w:divBdr>
    </w:div>
    <w:div w:id="1343313271">
      <w:bodyDiv w:val="1"/>
      <w:marLeft w:val="0"/>
      <w:marRight w:val="0"/>
      <w:marTop w:val="0"/>
      <w:marBottom w:val="0"/>
      <w:divBdr>
        <w:top w:val="none" w:sz="0" w:space="0" w:color="auto"/>
        <w:left w:val="none" w:sz="0" w:space="0" w:color="auto"/>
        <w:bottom w:val="none" w:sz="0" w:space="0" w:color="auto"/>
        <w:right w:val="none" w:sz="0" w:space="0" w:color="auto"/>
      </w:divBdr>
    </w:div>
    <w:div w:id="192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Nuclear-Medicine-Market-By-38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cp:lastPrinted>2022-07-11T04:38:00Z</cp:lastPrinted>
  <dcterms:created xsi:type="dcterms:W3CDTF">2022-07-11T05:38:00Z</dcterms:created>
  <dcterms:modified xsi:type="dcterms:W3CDTF">2022-07-11T05:38:00Z</dcterms:modified>
</cp:coreProperties>
</file>