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r w:rsidRPr="004237D3">
        <w:rPr>
          <w:rFonts w:ascii="Calibri" w:eastAsia="Times New Roman" w:hAnsi="Calibri" w:cs="Times New Roman"/>
          <w:color w:val="3C3C3C"/>
          <w:sz w:val="24"/>
          <w:szCs w:val="24"/>
          <w:bdr w:val="none" w:sz="0" w:space="0" w:color="auto" w:frame="1"/>
          <w:shd w:val="clear" w:color="auto" w:fill="FFFFFF"/>
        </w:rPr>
        <w:t xml:space="preserve">PE stands for polyethylene wax, which is a sort of synthetic wax. It's a polyethylene with a high molecular weight made up of ethylene monomer chains. Polyethylene wax can be made using a variety of processes, including ethylene polymerization. Due to features such as formulation flexibility, low melt viscosity, high heat resistance, thermal stability, and regulated molecular weight, it is used in the plastic production process. Plastic additives and lubricants, rubber adhesives, candles, and cosmetics all employ polyethylene wax. It is also </w:t>
      </w:r>
      <w:proofErr w:type="spellStart"/>
      <w:r w:rsidRPr="004237D3">
        <w:rPr>
          <w:rFonts w:ascii="Calibri" w:eastAsia="Times New Roman" w:hAnsi="Calibri" w:cs="Times New Roman"/>
          <w:color w:val="3C3C3C"/>
          <w:sz w:val="24"/>
          <w:szCs w:val="24"/>
          <w:bdr w:val="none" w:sz="0" w:space="0" w:color="auto" w:frame="1"/>
          <w:shd w:val="clear" w:color="auto" w:fill="FFFFFF"/>
        </w:rPr>
        <w:t>utilised</w:t>
      </w:r>
      <w:proofErr w:type="spellEnd"/>
      <w:r w:rsidRPr="004237D3">
        <w:rPr>
          <w:rFonts w:ascii="Calibri" w:eastAsia="Times New Roman" w:hAnsi="Calibri" w:cs="Times New Roman"/>
          <w:color w:val="3C3C3C"/>
          <w:sz w:val="24"/>
          <w:szCs w:val="24"/>
          <w:bdr w:val="none" w:sz="0" w:space="0" w:color="auto" w:frame="1"/>
          <w:shd w:val="clear" w:color="auto" w:fill="FFFFFF"/>
        </w:rPr>
        <w:t xml:space="preserve"> in the application of printing inks, as well as adhesives and coatings. As a result, attractive chances in the global polyethylene wax market are emerging as a result of rising product demand.</w:t>
      </w:r>
    </w:p>
    <w:p w:rsidR="004237D3" w:rsidRDefault="004237D3" w:rsidP="004237D3">
      <w:pPr>
        <w:shd w:val="clear" w:color="auto" w:fill="FFFFFF"/>
        <w:spacing w:after="0" w:line="240" w:lineRule="auto"/>
        <w:jc w:val="both"/>
        <w:outlineLvl w:val="1"/>
        <w:rPr>
          <w:rFonts w:ascii="Calibri" w:eastAsia="Times New Roman" w:hAnsi="Calibri" w:cs="Times New Roman"/>
          <w:b/>
          <w:bCs/>
          <w:color w:val="262626"/>
          <w:spacing w:val="4"/>
          <w:sz w:val="24"/>
          <w:szCs w:val="24"/>
          <w:bdr w:val="none" w:sz="0" w:space="0" w:color="auto" w:frame="1"/>
          <w:shd w:val="clear" w:color="auto" w:fill="FFFFFF"/>
        </w:rPr>
      </w:pPr>
    </w:p>
    <w:p w:rsidR="004237D3" w:rsidRPr="004237D3" w:rsidRDefault="004237D3" w:rsidP="004237D3">
      <w:pPr>
        <w:shd w:val="clear" w:color="auto" w:fill="FFFFFF"/>
        <w:spacing w:after="0" w:line="240" w:lineRule="auto"/>
        <w:jc w:val="both"/>
        <w:outlineLvl w:val="1"/>
        <w:rPr>
          <w:rFonts w:ascii="Arial" w:eastAsia="Times New Roman" w:hAnsi="Arial" w:cs="Arial"/>
          <w:b/>
          <w:bCs/>
          <w:color w:val="262626"/>
          <w:spacing w:val="4"/>
          <w:sz w:val="30"/>
          <w:szCs w:val="30"/>
        </w:rPr>
      </w:pPr>
      <w:r w:rsidRPr="004237D3">
        <w:rPr>
          <w:rFonts w:ascii="Calibri" w:eastAsia="Times New Roman" w:hAnsi="Calibri" w:cs="Times New Roman"/>
          <w:b/>
          <w:bCs/>
          <w:color w:val="262626"/>
          <w:spacing w:val="4"/>
          <w:sz w:val="24"/>
          <w:szCs w:val="24"/>
          <w:bdr w:val="none" w:sz="0" w:space="0" w:color="auto" w:frame="1"/>
          <w:shd w:val="clear" w:color="auto" w:fill="FFFFFF"/>
        </w:rPr>
        <w:t>The report</w:t>
      </w:r>
      <w:r w:rsidRPr="004237D3">
        <w:rPr>
          <w:rFonts w:ascii="Times New Roman" w:eastAsia="Times New Roman" w:hAnsi="Times New Roman" w:cs="Times New Roman"/>
          <w:b/>
          <w:bCs/>
          <w:color w:val="262626"/>
          <w:spacing w:val="4"/>
          <w:sz w:val="36"/>
          <w:szCs w:val="36"/>
          <w:bdr w:val="none" w:sz="0" w:space="0" w:color="auto" w:frame="1"/>
          <w:shd w:val="clear" w:color="auto" w:fill="FFFFFF"/>
        </w:rPr>
        <w:t> </w:t>
      </w:r>
      <w:r w:rsidRPr="004237D3">
        <w:rPr>
          <w:rFonts w:ascii="Calibri" w:eastAsia="Times New Roman" w:hAnsi="Calibri" w:cs="Times New Roman"/>
          <w:b/>
          <w:bCs/>
          <w:color w:val="262626"/>
          <w:spacing w:val="4"/>
          <w:sz w:val="24"/>
          <w:szCs w:val="24"/>
          <w:bdr w:val="none" w:sz="0" w:space="0" w:color="auto" w:frame="1"/>
          <w:shd w:val="clear" w:color="auto" w:fill="FFFFFF"/>
        </w:rPr>
        <w:t>"</w:t>
      </w:r>
      <w:r w:rsidRPr="004237D3">
        <w:rPr>
          <w:rFonts w:ascii="Times New Roman" w:eastAsia="Times New Roman" w:hAnsi="Times New Roman" w:cs="Times New Roman"/>
          <w:b/>
          <w:bCs/>
          <w:color w:val="262626"/>
          <w:spacing w:val="4"/>
          <w:sz w:val="36"/>
          <w:szCs w:val="36"/>
          <w:bdr w:val="none" w:sz="0" w:space="0" w:color="auto" w:frame="1"/>
          <w:shd w:val="clear" w:color="auto" w:fill="FFFFFF"/>
        </w:rPr>
        <w:t> </w:t>
      </w:r>
      <w:r w:rsidRPr="004237D3">
        <w:rPr>
          <w:rFonts w:ascii="Calibri" w:eastAsia="Times New Roman" w:hAnsi="Calibri" w:cs="Times New Roman"/>
          <w:b/>
          <w:bCs/>
          <w:color w:val="262626"/>
          <w:spacing w:val="4"/>
          <w:sz w:val="24"/>
          <w:szCs w:val="24"/>
          <w:bdr w:val="none" w:sz="0" w:space="0" w:color="auto" w:frame="1"/>
          <w:shd w:val="clear" w:color="auto" w:fill="FFFFFF"/>
        </w:rPr>
        <w:t xml:space="preserve">Global </w:t>
      </w:r>
      <w:bookmarkStart w:id="0" w:name="_GoBack"/>
      <w:r w:rsidRPr="004237D3">
        <w:rPr>
          <w:rFonts w:ascii="Calibri" w:eastAsia="Times New Roman" w:hAnsi="Calibri" w:cs="Times New Roman"/>
          <w:b/>
          <w:bCs/>
          <w:color w:val="262626"/>
          <w:spacing w:val="4"/>
          <w:sz w:val="24"/>
          <w:szCs w:val="24"/>
          <w:bdr w:val="none" w:sz="0" w:space="0" w:color="auto" w:frame="1"/>
          <w:shd w:val="clear" w:color="auto" w:fill="FFFFFF"/>
        </w:rPr>
        <w:t>Polyethylene Wax Market</w:t>
      </w:r>
      <w:bookmarkEnd w:id="0"/>
      <w:r w:rsidRPr="004237D3">
        <w:rPr>
          <w:rFonts w:ascii="Calibri" w:eastAsia="Times New Roman" w:hAnsi="Calibri" w:cs="Times New Roman"/>
          <w:b/>
          <w:bCs/>
          <w:color w:val="262626"/>
          <w:spacing w:val="4"/>
          <w:sz w:val="24"/>
          <w:szCs w:val="24"/>
          <w:bdr w:val="none" w:sz="0" w:space="0" w:color="auto" w:frame="1"/>
          <w:shd w:val="clear" w:color="auto" w:fill="FFFFFF"/>
        </w:rPr>
        <w:t>, By Process (Polymerization, Modification, and Thermal Cracking), By Type (High-Density Polyethylene (HDPE), Low Density Polyethylene (LDPE), Oxidized, and Micronized), By Application (Plastic Processing, Hot-melt Adhesive, and Ink and Coating), and By Region (North America, Latin America, Europe, Asia Pacific, Middle East, and Africa) – Trends, Analysis and Forecast Till 2029’’</w:t>
      </w:r>
    </w:p>
    <w:p w:rsidR="004237D3" w:rsidRDefault="004237D3" w:rsidP="004237D3">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r w:rsidRPr="004237D3">
        <w:rPr>
          <w:rFonts w:ascii="Calibri" w:eastAsia="Times New Roman" w:hAnsi="Calibri" w:cs="Times New Roman"/>
          <w:b/>
          <w:bCs/>
          <w:color w:val="3C3C3C"/>
          <w:sz w:val="24"/>
          <w:szCs w:val="24"/>
          <w:bdr w:val="none" w:sz="0" w:space="0" w:color="auto" w:frame="1"/>
          <w:shd w:val="clear" w:color="auto" w:fill="FFFFFF"/>
        </w:rPr>
        <w:t>Key Highlights:</w:t>
      </w:r>
    </w:p>
    <w:p w:rsidR="004237D3" w:rsidRPr="004237D3" w:rsidRDefault="004237D3" w:rsidP="004237D3">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4237D3">
        <w:rPr>
          <w:rFonts w:ascii="Calibri" w:eastAsia="Times New Roman" w:hAnsi="Calibri" w:cs="Times New Roman"/>
          <w:color w:val="3C3C3C"/>
          <w:sz w:val="24"/>
          <w:szCs w:val="24"/>
          <w:bdr w:val="none" w:sz="0" w:space="0" w:color="auto" w:frame="1"/>
          <w:shd w:val="clear" w:color="auto" w:fill="FFFFFF"/>
        </w:rPr>
        <w:t xml:space="preserve">In 2021, </w:t>
      </w:r>
      <w:proofErr w:type="spellStart"/>
      <w:r w:rsidRPr="004237D3">
        <w:rPr>
          <w:rFonts w:ascii="Calibri" w:eastAsia="Times New Roman" w:hAnsi="Calibri" w:cs="Times New Roman"/>
          <w:color w:val="3C3C3C"/>
          <w:sz w:val="24"/>
          <w:szCs w:val="24"/>
          <w:bdr w:val="none" w:sz="0" w:space="0" w:color="auto" w:frame="1"/>
          <w:shd w:val="clear" w:color="auto" w:fill="FFFFFF"/>
        </w:rPr>
        <w:t>Braskem</w:t>
      </w:r>
      <w:proofErr w:type="spellEnd"/>
      <w:r w:rsidRPr="004237D3">
        <w:rPr>
          <w:rFonts w:ascii="Calibri" w:eastAsia="Times New Roman" w:hAnsi="Calibri" w:cs="Times New Roman"/>
          <w:color w:val="3C3C3C"/>
          <w:sz w:val="24"/>
          <w:szCs w:val="24"/>
          <w:bdr w:val="none" w:sz="0" w:space="0" w:color="auto" w:frame="1"/>
          <w:shd w:val="clear" w:color="auto" w:fill="FFFFFF"/>
        </w:rPr>
        <w:t xml:space="preserve"> introduces the world's first polyethylene wax made from renewable resources. The world's first renewable-source polyethylene (PE) wax has been launched by a Brazilian chemical business. The substance is often employed as a viscosity modifying ingredient in various formulations and is used in the production of adhesives, cosmetics, coatings, and various compounds.</w:t>
      </w:r>
    </w:p>
    <w:p w:rsidR="004237D3" w:rsidRDefault="004237D3" w:rsidP="004237D3">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r w:rsidRPr="004237D3">
        <w:rPr>
          <w:rFonts w:ascii="Calibri" w:eastAsia="Times New Roman" w:hAnsi="Calibri" w:cs="Times New Roman"/>
          <w:b/>
          <w:bCs/>
          <w:color w:val="3C3C3C"/>
          <w:sz w:val="24"/>
          <w:szCs w:val="24"/>
          <w:bdr w:val="none" w:sz="0" w:space="0" w:color="auto" w:frame="1"/>
          <w:shd w:val="clear" w:color="auto" w:fill="FFFFFF"/>
        </w:rPr>
        <w:t>Analyst View:</w:t>
      </w:r>
    </w:p>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r w:rsidRPr="004237D3">
        <w:rPr>
          <w:rFonts w:ascii="Calibri" w:eastAsia="Times New Roman" w:hAnsi="Calibri" w:cs="Times New Roman"/>
          <w:color w:val="3C3C3C"/>
          <w:sz w:val="23"/>
          <w:szCs w:val="23"/>
          <w:bdr w:val="none" w:sz="0" w:space="0" w:color="auto" w:frame="1"/>
          <w:shd w:val="clear" w:color="auto" w:fill="FFFFFF"/>
        </w:rPr>
        <w:t>Polyethylene (PE) wax is made from ethylene through a polymerization process. The expansion of the polyethylene wax market will be fueled by increasing applications of HDPE and LDPE wax in plastic or rubber processing, textiles, adhesives, paints &amp; coating applications, lubricants, and PVC manufacture, among other applications. Because of their distinctive features, such as low molecular weight, low viscosity, high hardness or brittleness, and a relatively high melting temperature, polyethylene waxes are frequently employed in the petrochemical industry. Manufacturers in the polyethylene wax market are establishing a global footprint by catering to a variety of end-use industries.</w:t>
      </w:r>
    </w:p>
    <w:p w:rsidR="004237D3" w:rsidRDefault="004237D3" w:rsidP="004237D3">
      <w:pPr>
        <w:shd w:val="clear" w:color="auto" w:fill="FFFFFF"/>
        <w:spacing w:after="0" w:line="240" w:lineRule="auto"/>
        <w:jc w:val="both"/>
        <w:outlineLvl w:val="1"/>
        <w:rPr>
          <w:rFonts w:ascii="Calibri" w:eastAsia="Times New Roman" w:hAnsi="Calibri" w:cs="Times New Roman"/>
          <w:b/>
          <w:bCs/>
          <w:i/>
          <w:iCs/>
          <w:color w:val="262626"/>
          <w:spacing w:val="4"/>
          <w:sz w:val="24"/>
          <w:szCs w:val="24"/>
          <w:bdr w:val="none" w:sz="0" w:space="0" w:color="auto" w:frame="1"/>
          <w:shd w:val="clear" w:color="auto" w:fill="FFFFFF"/>
        </w:rPr>
      </w:pPr>
    </w:p>
    <w:p w:rsidR="004237D3" w:rsidRPr="004237D3" w:rsidRDefault="004237D3" w:rsidP="004237D3">
      <w:pPr>
        <w:shd w:val="clear" w:color="auto" w:fill="FFFFFF"/>
        <w:spacing w:after="0" w:line="240" w:lineRule="auto"/>
        <w:jc w:val="both"/>
        <w:outlineLvl w:val="1"/>
        <w:rPr>
          <w:rFonts w:ascii="Arial" w:eastAsia="Times New Roman" w:hAnsi="Arial" w:cs="Arial"/>
          <w:b/>
          <w:bCs/>
          <w:color w:val="262626"/>
          <w:spacing w:val="4"/>
          <w:sz w:val="30"/>
          <w:szCs w:val="30"/>
        </w:rPr>
      </w:pPr>
      <w:r w:rsidRPr="004237D3">
        <w:rPr>
          <w:rFonts w:ascii="Calibri" w:eastAsia="Times New Roman" w:hAnsi="Calibri" w:cs="Times New Roman"/>
          <w:b/>
          <w:bCs/>
          <w:i/>
          <w:iCs/>
          <w:color w:val="262626"/>
          <w:spacing w:val="4"/>
          <w:sz w:val="24"/>
          <w:szCs w:val="24"/>
          <w:bdr w:val="none" w:sz="0" w:space="0" w:color="auto" w:frame="1"/>
          <w:shd w:val="clear" w:color="auto" w:fill="FFFFFF"/>
        </w:rPr>
        <w:t>Browse 60 market data tables* and 35 figures* through 140 slides and in-depth TOC on “Global Polyethylene Wax Market, By Process (Polymerization, Modification, and Thermal Cracking), By Type (High-Density Polyethylene (HDPE), Low Density Polyethylene (LDPE), Oxidized, and Micronized), By Application (Plastic Processing, Hot-melt Adhesive, and Ink and Coating), and By Region (North America, Latin America, Europe, Asia Pacific, Middle East, and Africa) – Trends, Analysis and Forecast Till 2029”</w:t>
      </w:r>
    </w:p>
    <w:p w:rsidR="004237D3" w:rsidRDefault="004237D3" w:rsidP="004237D3">
      <w:pPr>
        <w:shd w:val="clear" w:color="auto" w:fill="FFFFFF"/>
        <w:spacing w:after="0" w:line="240" w:lineRule="auto"/>
        <w:jc w:val="both"/>
        <w:rPr>
          <w:rFonts w:ascii="Calibri" w:eastAsia="Times New Roman" w:hAnsi="Calibri" w:cs="Times New Roman"/>
          <w:i/>
          <w:iCs/>
          <w:color w:val="80819F"/>
          <w:sz w:val="23"/>
          <w:szCs w:val="23"/>
          <w:bdr w:val="none" w:sz="0" w:space="0" w:color="auto" w:frame="1"/>
          <w:shd w:val="clear" w:color="auto" w:fill="FFFFFF"/>
        </w:rPr>
      </w:pPr>
    </w:p>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r w:rsidRPr="004237D3">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4237D3">
        <w:rPr>
          <w:rFonts w:ascii="Calibri" w:eastAsia="Times New Roman" w:hAnsi="Calibri" w:cs="Times New Roman"/>
          <w:b/>
          <w:bCs/>
          <w:i/>
          <w:iCs/>
          <w:color w:val="80819F"/>
          <w:sz w:val="23"/>
          <w:szCs w:val="23"/>
          <w:bdr w:val="none" w:sz="0" w:space="0" w:color="auto" w:frame="1"/>
          <w:shd w:val="clear" w:color="auto" w:fill="FFFFFF"/>
        </w:rPr>
        <w:t>:</w:t>
      </w:r>
    </w:p>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4237D3">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https://www.prophecymarketinsights.com/market_insight/Global-Polyethylene-Wax-Market-By-413</w:t>
        </w:r>
      </w:hyperlink>
    </w:p>
    <w:p w:rsidR="004237D3" w:rsidRDefault="004237D3" w:rsidP="004237D3">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r w:rsidRPr="004237D3">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r w:rsidRPr="004237D3">
        <w:rPr>
          <w:rFonts w:ascii="Calibri" w:eastAsia="Times New Roman" w:hAnsi="Calibri" w:cs="Times New Roman"/>
          <w:color w:val="3C3C3C"/>
          <w:sz w:val="24"/>
          <w:szCs w:val="24"/>
          <w:bdr w:val="none" w:sz="0" w:space="0" w:color="auto" w:frame="1"/>
          <w:shd w:val="clear" w:color="auto" w:fill="FFFFFF"/>
        </w:rPr>
        <w:lastRenderedPageBreak/>
        <w:t>The global polyethylene wax market has been segmented on the basis of process, type, application, and region.</w:t>
      </w:r>
    </w:p>
    <w:p w:rsidR="004237D3" w:rsidRPr="004237D3" w:rsidRDefault="004237D3" w:rsidP="004237D3">
      <w:pPr>
        <w:numPr>
          <w:ilvl w:val="0"/>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4237D3">
        <w:rPr>
          <w:rFonts w:ascii="Calibri" w:eastAsia="Times New Roman" w:hAnsi="Calibri" w:cs="Times New Roman"/>
          <w:color w:val="3C3C3C"/>
          <w:sz w:val="24"/>
          <w:szCs w:val="24"/>
          <w:bdr w:val="none" w:sz="0" w:space="0" w:color="auto" w:frame="1"/>
          <w:shd w:val="clear" w:color="auto" w:fill="FFFFFF"/>
        </w:rPr>
        <w:t>Based on Type, Global Polyethylene Wax Market is segmented into High-Density Polyethylene (HDPE), Low Density Polyethylene (LDPE), Oxidized, and Micronized.</w:t>
      </w:r>
    </w:p>
    <w:p w:rsidR="004237D3" w:rsidRPr="004237D3" w:rsidRDefault="004237D3" w:rsidP="004237D3">
      <w:pPr>
        <w:numPr>
          <w:ilvl w:val="0"/>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4237D3">
        <w:rPr>
          <w:rFonts w:ascii="Calibri" w:eastAsia="Times New Roman" w:hAnsi="Calibri" w:cs="Times New Roman"/>
          <w:color w:val="3C3C3C"/>
          <w:sz w:val="24"/>
          <w:szCs w:val="24"/>
          <w:bdr w:val="none" w:sz="0" w:space="0" w:color="auto" w:frame="1"/>
          <w:shd w:val="clear" w:color="auto" w:fill="FFFFFF"/>
        </w:rPr>
        <w:t>Based on Process, Global Polyethylene Wax Market is segmented into Polymerization, Modification, and Thermal Cracking.  </w:t>
      </w:r>
    </w:p>
    <w:p w:rsidR="004237D3" w:rsidRPr="004237D3" w:rsidRDefault="004237D3" w:rsidP="004237D3">
      <w:pPr>
        <w:numPr>
          <w:ilvl w:val="0"/>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4237D3">
        <w:rPr>
          <w:rFonts w:ascii="Calibri" w:eastAsia="Times New Roman" w:hAnsi="Calibri" w:cs="Times New Roman"/>
          <w:color w:val="3C3C3C"/>
          <w:sz w:val="24"/>
          <w:szCs w:val="24"/>
          <w:bdr w:val="none" w:sz="0" w:space="0" w:color="auto" w:frame="1"/>
          <w:shd w:val="clear" w:color="auto" w:fill="FFFFFF"/>
        </w:rPr>
        <w:t>Based on Application, Global Polyethylene Wax Market is segmented into Plastic Processing, Hot-melt Adhesive, and Ink and Coating. </w:t>
      </w:r>
    </w:p>
    <w:p w:rsidR="004237D3" w:rsidRPr="004237D3" w:rsidRDefault="004237D3" w:rsidP="004237D3">
      <w:pPr>
        <w:numPr>
          <w:ilvl w:val="0"/>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4237D3">
        <w:rPr>
          <w:rFonts w:ascii="Calibri" w:eastAsia="Times New Roman" w:hAnsi="Calibri" w:cs="Times New Roman"/>
          <w:color w:val="3C3C3C"/>
          <w:sz w:val="24"/>
          <w:szCs w:val="24"/>
          <w:bdr w:val="none" w:sz="0" w:space="0" w:color="auto" w:frame="1"/>
          <w:shd w:val="clear" w:color="auto" w:fill="FFFFFF"/>
        </w:rPr>
        <w:t>Based on Fuel Type, Global Polyethylene Wax Market is segmented into ICE and EV. </w:t>
      </w:r>
    </w:p>
    <w:p w:rsidR="004237D3" w:rsidRPr="004237D3" w:rsidRDefault="004237D3" w:rsidP="004237D3">
      <w:pPr>
        <w:numPr>
          <w:ilvl w:val="0"/>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4237D3">
        <w:rPr>
          <w:rFonts w:ascii="Calibri" w:eastAsia="Times New Roman" w:hAnsi="Calibri" w:cs="Times New Roman"/>
          <w:color w:val="3C3C3C"/>
          <w:sz w:val="24"/>
          <w:szCs w:val="24"/>
          <w:bdr w:val="none" w:sz="0" w:space="0" w:color="auto" w:frame="1"/>
          <w:shd w:val="clear" w:color="auto" w:fill="FFFFFF"/>
        </w:rPr>
        <w:t>By Region, the Global Polyethylene Wax Market is segmented into North America, Europe, Asia Pacific, Latin America, and Middle East &amp; Africa.</w:t>
      </w:r>
    </w:p>
    <w:p w:rsidR="004237D3" w:rsidRDefault="004237D3" w:rsidP="004237D3">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r w:rsidRPr="004237D3">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Polyethylene Wax Market:</w:t>
      </w:r>
    </w:p>
    <w:p w:rsidR="004237D3" w:rsidRDefault="004237D3" w:rsidP="004237D3">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4237D3">
        <w:rPr>
          <w:rFonts w:ascii="Calibri" w:eastAsia="Times New Roman" w:hAnsi="Calibri" w:cs="Times New Roman"/>
          <w:color w:val="3C3C3C"/>
          <w:sz w:val="24"/>
          <w:szCs w:val="24"/>
          <w:bdr w:val="none" w:sz="0" w:space="0" w:color="auto" w:frame="1"/>
          <w:shd w:val="clear" w:color="auto" w:fill="FFFFFF"/>
        </w:rPr>
        <w:t xml:space="preserve">Key players operating in the global polyethylene wax market includes BASF SE, Arya </w:t>
      </w:r>
      <w:proofErr w:type="spellStart"/>
      <w:r w:rsidRPr="004237D3">
        <w:rPr>
          <w:rFonts w:ascii="Calibri" w:eastAsia="Times New Roman" w:hAnsi="Calibri" w:cs="Times New Roman"/>
          <w:color w:val="3C3C3C"/>
          <w:sz w:val="24"/>
          <w:szCs w:val="24"/>
          <w:bdr w:val="none" w:sz="0" w:space="0" w:color="auto" w:frame="1"/>
          <w:shd w:val="clear" w:color="auto" w:fill="FFFFFF"/>
        </w:rPr>
        <w:t>Chem</w:t>
      </w:r>
      <w:proofErr w:type="spellEnd"/>
      <w:r w:rsidRPr="004237D3">
        <w:rPr>
          <w:rFonts w:ascii="Calibri" w:eastAsia="Times New Roman" w:hAnsi="Calibri" w:cs="Times New Roman"/>
          <w:color w:val="3C3C3C"/>
          <w:sz w:val="24"/>
          <w:szCs w:val="24"/>
          <w:bdr w:val="none" w:sz="0" w:space="0" w:color="auto" w:frame="1"/>
          <w:shd w:val="clear" w:color="auto" w:fill="FFFFFF"/>
        </w:rPr>
        <w:t xml:space="preserve"> Inc., </w:t>
      </w:r>
      <w:proofErr w:type="spellStart"/>
      <w:r w:rsidRPr="004237D3">
        <w:rPr>
          <w:rFonts w:ascii="Calibri" w:eastAsia="Times New Roman" w:hAnsi="Calibri" w:cs="Times New Roman"/>
          <w:color w:val="3C3C3C"/>
          <w:sz w:val="24"/>
          <w:szCs w:val="24"/>
          <w:bdr w:val="none" w:sz="0" w:space="0" w:color="auto" w:frame="1"/>
          <w:shd w:val="clear" w:color="auto" w:fill="FFFFFF"/>
        </w:rPr>
        <w:t>Clariant</w:t>
      </w:r>
      <w:proofErr w:type="spellEnd"/>
      <w:r w:rsidRPr="004237D3">
        <w:rPr>
          <w:rFonts w:ascii="Calibri" w:eastAsia="Times New Roman" w:hAnsi="Calibri" w:cs="Times New Roman"/>
          <w:color w:val="3C3C3C"/>
          <w:sz w:val="24"/>
          <w:szCs w:val="24"/>
          <w:bdr w:val="none" w:sz="0" w:space="0" w:color="auto" w:frame="1"/>
          <w:shd w:val="clear" w:color="auto" w:fill="FFFFFF"/>
        </w:rPr>
        <w:t xml:space="preserve"> AG, Westlake Chemical Corporation, SCG Chemicals, WIWAX </w:t>
      </w:r>
      <w:proofErr w:type="spellStart"/>
      <w:r w:rsidRPr="004237D3">
        <w:rPr>
          <w:rFonts w:ascii="Calibri" w:eastAsia="Times New Roman" w:hAnsi="Calibri" w:cs="Times New Roman"/>
          <w:color w:val="3C3C3C"/>
          <w:sz w:val="24"/>
          <w:szCs w:val="24"/>
          <w:bdr w:val="none" w:sz="0" w:space="0" w:color="auto" w:frame="1"/>
          <w:shd w:val="clear" w:color="auto" w:fill="FFFFFF"/>
        </w:rPr>
        <w:t>sp.zo.o</w:t>
      </w:r>
      <w:proofErr w:type="spellEnd"/>
      <w:r w:rsidRPr="004237D3">
        <w:rPr>
          <w:rFonts w:ascii="Calibri" w:eastAsia="Times New Roman" w:hAnsi="Calibri" w:cs="Times New Roman"/>
          <w:color w:val="3C3C3C"/>
          <w:sz w:val="24"/>
          <w:szCs w:val="24"/>
          <w:bdr w:val="none" w:sz="0" w:space="0" w:color="auto" w:frame="1"/>
          <w:shd w:val="clear" w:color="auto" w:fill="FFFFFF"/>
        </w:rPr>
        <w:t xml:space="preserve">., Synergy Poly Additives Private Limited, Mitsui Chemicals America, Inc., The Lubrizol Corporation, </w:t>
      </w:r>
      <w:proofErr w:type="spellStart"/>
      <w:r w:rsidRPr="004237D3">
        <w:rPr>
          <w:rFonts w:ascii="Calibri" w:eastAsia="Times New Roman" w:hAnsi="Calibri" w:cs="Times New Roman"/>
          <w:color w:val="3C3C3C"/>
          <w:sz w:val="24"/>
          <w:szCs w:val="24"/>
          <w:bdr w:val="none" w:sz="0" w:space="0" w:color="auto" w:frame="1"/>
          <w:shd w:val="clear" w:color="auto" w:fill="FFFFFF"/>
        </w:rPr>
        <w:t>Kerax</w:t>
      </w:r>
      <w:proofErr w:type="spellEnd"/>
      <w:r w:rsidRPr="004237D3">
        <w:rPr>
          <w:rFonts w:ascii="Calibri" w:eastAsia="Times New Roman" w:hAnsi="Calibri" w:cs="Times New Roman"/>
          <w:color w:val="3C3C3C"/>
          <w:sz w:val="24"/>
          <w:szCs w:val="24"/>
          <w:bdr w:val="none" w:sz="0" w:space="0" w:color="auto" w:frame="1"/>
          <w:shd w:val="clear" w:color="auto" w:fill="FFFFFF"/>
        </w:rPr>
        <w:t xml:space="preserve"> Limited, Micro Powders, Inc., The International Group, Inc. and </w:t>
      </w:r>
      <w:proofErr w:type="spellStart"/>
      <w:r w:rsidRPr="004237D3">
        <w:rPr>
          <w:rFonts w:ascii="Calibri" w:eastAsia="Times New Roman" w:hAnsi="Calibri" w:cs="Times New Roman"/>
          <w:color w:val="3C3C3C"/>
          <w:sz w:val="24"/>
          <w:szCs w:val="24"/>
          <w:bdr w:val="none" w:sz="0" w:space="0" w:color="auto" w:frame="1"/>
          <w:shd w:val="clear" w:color="auto" w:fill="FFFFFF"/>
        </w:rPr>
        <w:t>Innospec</w:t>
      </w:r>
      <w:proofErr w:type="spellEnd"/>
      <w:r w:rsidRPr="004237D3">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4237D3">
        <w:rPr>
          <w:rFonts w:ascii="Calibri" w:eastAsia="Times New Roman" w:hAnsi="Calibri" w:cs="Times New Roman"/>
          <w:color w:val="3C3C3C"/>
          <w:sz w:val="24"/>
          <w:szCs w:val="24"/>
          <w:bdr w:val="none" w:sz="0" w:space="0" w:color="auto" w:frame="1"/>
          <w:shd w:val="clear" w:color="auto" w:fill="FFFFFF"/>
        </w:rPr>
        <w:t>Inc.k</w:t>
      </w:r>
      <w:proofErr w:type="spellEnd"/>
    </w:p>
    <w:p w:rsidR="004237D3" w:rsidRDefault="004237D3" w:rsidP="004237D3">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4237D3" w:rsidRPr="004237D3" w:rsidRDefault="004237D3" w:rsidP="004237D3">
      <w:pPr>
        <w:jc w:val="both"/>
        <w:rPr>
          <w:rFonts w:ascii="Calibri" w:eastAsia="Times New Roman" w:hAnsi="Calibri" w:cs="Times New Roman"/>
          <w:color w:val="0563C1"/>
          <w:u w:val="single"/>
        </w:rPr>
      </w:pPr>
      <w:r>
        <w:rPr>
          <w:rFonts w:ascii="Calibri" w:eastAsia="Times New Roman" w:hAnsi="Calibri" w:cs="Times New Roman"/>
          <w:color w:val="3C3C3C"/>
          <w:sz w:val="24"/>
          <w:szCs w:val="24"/>
          <w:bdr w:val="none" w:sz="0" w:space="0" w:color="auto" w:frame="1"/>
          <w:shd w:val="clear" w:color="auto" w:fill="FFFFFF"/>
        </w:rPr>
        <w:t xml:space="preserve">Other Topics: </w:t>
      </w:r>
      <w:hyperlink r:id="rId6" w:history="1">
        <w:r w:rsidRPr="004237D3">
          <w:rPr>
            <w:rFonts w:ascii="Calibri" w:eastAsia="Times New Roman" w:hAnsi="Calibri" w:cs="Times New Roman"/>
            <w:color w:val="0563C1"/>
            <w:u w:val="single"/>
          </w:rPr>
          <w:t>https://www.digitaljournal.com/pr/digital-banking-platform-market-size-shares-and-analysis-trends-with-top-most-key-players-appway-ag-backbase-inc-crealogix-ag-infosys-limited</w:t>
        </w:r>
      </w:hyperlink>
    </w:p>
    <w:p w:rsidR="004237D3" w:rsidRPr="004237D3" w:rsidRDefault="004237D3" w:rsidP="004237D3">
      <w:pPr>
        <w:spacing w:after="0" w:line="240" w:lineRule="auto"/>
        <w:jc w:val="both"/>
        <w:rPr>
          <w:rFonts w:ascii="Calibri" w:eastAsia="Times New Roman" w:hAnsi="Calibri" w:cs="Times New Roman"/>
          <w:color w:val="0563C1"/>
          <w:u w:val="single"/>
        </w:rPr>
      </w:pPr>
      <w:hyperlink r:id="rId7" w:history="1">
        <w:r w:rsidRPr="004237D3">
          <w:rPr>
            <w:rFonts w:ascii="Calibri" w:eastAsia="Times New Roman" w:hAnsi="Calibri" w:cs="Times New Roman"/>
            <w:color w:val="0563C1"/>
            <w:u w:val="single"/>
          </w:rPr>
          <w:t>https://www.digitaljournal.com/pr/data-preparation-market-size-shares-and-analysis-trends-with-top-most-key-players-informatica-llc-ibm-corporation-sas-institute-inc</w:t>
        </w:r>
      </w:hyperlink>
    </w:p>
    <w:p w:rsidR="004237D3" w:rsidRPr="004237D3" w:rsidRDefault="004237D3" w:rsidP="004237D3">
      <w:pPr>
        <w:shd w:val="clear" w:color="auto" w:fill="FFFFFF"/>
        <w:spacing w:after="0" w:line="240" w:lineRule="auto"/>
        <w:jc w:val="both"/>
        <w:rPr>
          <w:rFonts w:ascii="Open Sans" w:eastAsia="Times New Roman" w:hAnsi="Open Sans" w:cs="Times New Roman"/>
          <w:color w:val="3C3C3C"/>
          <w:sz w:val="23"/>
          <w:szCs w:val="23"/>
        </w:rPr>
      </w:pPr>
    </w:p>
    <w:p w:rsidR="00277C02" w:rsidRPr="004237D3" w:rsidRDefault="00277C02" w:rsidP="004237D3"/>
    <w:sectPr w:rsidR="00277C02" w:rsidRPr="0042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407A"/>
    <w:multiLevelType w:val="multilevel"/>
    <w:tmpl w:val="9742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2267F"/>
    <w:multiLevelType w:val="multilevel"/>
    <w:tmpl w:val="FE3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810108"/>
    <w:multiLevelType w:val="multilevel"/>
    <w:tmpl w:val="6D3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281480"/>
    <w:multiLevelType w:val="multilevel"/>
    <w:tmpl w:val="5FE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FE"/>
    <w:rsid w:val="00277C02"/>
    <w:rsid w:val="00326769"/>
    <w:rsid w:val="004237D3"/>
    <w:rsid w:val="008E4EF8"/>
    <w:rsid w:val="00A308FE"/>
    <w:rsid w:val="00CD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924BE-ECED-4BC6-97F8-77407AFF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3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8FE"/>
    <w:rPr>
      <w:b/>
      <w:bCs/>
    </w:rPr>
  </w:style>
  <w:style w:type="character" w:styleId="Emphasis">
    <w:name w:val="Emphasis"/>
    <w:basedOn w:val="DefaultParagraphFont"/>
    <w:uiPriority w:val="20"/>
    <w:qFormat/>
    <w:rsid w:val="00A308FE"/>
    <w:rPr>
      <w:i/>
      <w:iCs/>
    </w:rPr>
  </w:style>
  <w:style w:type="character" w:styleId="Hyperlink">
    <w:name w:val="Hyperlink"/>
    <w:basedOn w:val="DefaultParagraphFont"/>
    <w:uiPriority w:val="99"/>
    <w:semiHidden/>
    <w:unhideWhenUsed/>
    <w:rsid w:val="00A308FE"/>
    <w:rPr>
      <w:color w:val="0000FF"/>
      <w:u w:val="single"/>
    </w:rPr>
  </w:style>
  <w:style w:type="character" w:customStyle="1" w:styleId="Heading2Char">
    <w:name w:val="Heading 2 Char"/>
    <w:basedOn w:val="DefaultParagraphFont"/>
    <w:link w:val="Heading2"/>
    <w:uiPriority w:val="9"/>
    <w:rsid w:val="004237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23888">
      <w:bodyDiv w:val="1"/>
      <w:marLeft w:val="0"/>
      <w:marRight w:val="0"/>
      <w:marTop w:val="0"/>
      <w:marBottom w:val="0"/>
      <w:divBdr>
        <w:top w:val="none" w:sz="0" w:space="0" w:color="auto"/>
        <w:left w:val="none" w:sz="0" w:space="0" w:color="auto"/>
        <w:bottom w:val="none" w:sz="0" w:space="0" w:color="auto"/>
        <w:right w:val="none" w:sz="0" w:space="0" w:color="auto"/>
      </w:divBdr>
    </w:div>
    <w:div w:id="400179524">
      <w:bodyDiv w:val="1"/>
      <w:marLeft w:val="0"/>
      <w:marRight w:val="0"/>
      <w:marTop w:val="0"/>
      <w:marBottom w:val="0"/>
      <w:divBdr>
        <w:top w:val="none" w:sz="0" w:space="0" w:color="auto"/>
        <w:left w:val="none" w:sz="0" w:space="0" w:color="auto"/>
        <w:bottom w:val="none" w:sz="0" w:space="0" w:color="auto"/>
        <w:right w:val="none" w:sz="0" w:space="0" w:color="auto"/>
      </w:divBdr>
    </w:div>
    <w:div w:id="914977475">
      <w:bodyDiv w:val="1"/>
      <w:marLeft w:val="0"/>
      <w:marRight w:val="0"/>
      <w:marTop w:val="0"/>
      <w:marBottom w:val="0"/>
      <w:divBdr>
        <w:top w:val="none" w:sz="0" w:space="0" w:color="auto"/>
        <w:left w:val="none" w:sz="0" w:space="0" w:color="auto"/>
        <w:bottom w:val="none" w:sz="0" w:space="0" w:color="auto"/>
        <w:right w:val="none" w:sz="0" w:space="0" w:color="auto"/>
      </w:divBdr>
    </w:div>
    <w:div w:id="1528178980">
      <w:bodyDiv w:val="1"/>
      <w:marLeft w:val="0"/>
      <w:marRight w:val="0"/>
      <w:marTop w:val="0"/>
      <w:marBottom w:val="0"/>
      <w:divBdr>
        <w:top w:val="none" w:sz="0" w:space="0" w:color="auto"/>
        <w:left w:val="none" w:sz="0" w:space="0" w:color="auto"/>
        <w:bottom w:val="none" w:sz="0" w:space="0" w:color="auto"/>
        <w:right w:val="none" w:sz="0" w:space="0" w:color="auto"/>
      </w:divBdr>
    </w:div>
    <w:div w:id="1871607041">
      <w:bodyDiv w:val="1"/>
      <w:marLeft w:val="0"/>
      <w:marRight w:val="0"/>
      <w:marTop w:val="0"/>
      <w:marBottom w:val="0"/>
      <w:divBdr>
        <w:top w:val="none" w:sz="0" w:space="0" w:color="auto"/>
        <w:left w:val="none" w:sz="0" w:space="0" w:color="auto"/>
        <w:bottom w:val="none" w:sz="0" w:space="0" w:color="auto"/>
        <w:right w:val="none" w:sz="0" w:space="0" w:color="auto"/>
      </w:divBdr>
    </w:div>
    <w:div w:id="212981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data-preparation-market-size-shares-and-analysis-trends-with-top-most-key-players-informatica-llc-ibm-corporation-sas-institute-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digital-banking-platform-market-size-shares-and-analysis-trends-with-top-most-key-players-appway-ag-backbase-inc-crealogix-ag-infosys-limited" TargetMode="External"/><Relationship Id="rId5" Type="http://schemas.openxmlformats.org/officeDocument/2006/relationships/hyperlink" Target="https://www.prophecymarketinsights.com/market_insight/Global-Polyethylene-Wax-Market-By-4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2022-08-26T06:40:00Z</dcterms:created>
  <dcterms:modified xsi:type="dcterms:W3CDTF">2022-08-26T06:40:00Z</dcterms:modified>
</cp:coreProperties>
</file>