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bookmarkStart w:id="0" w:name="_GoBack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report </w:t>
      </w:r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Global Potassium </w:t>
      </w:r>
      <w:proofErr w:type="spellStart"/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Market, By Form (Granular, Powder, and Liquid), By </w:t>
      </w:r>
      <w:bookmarkEnd w:id="0"/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</w:rPr>
        <w:t>Application (Agriculture, Industrial, Pharmaceutical, Cosmetics, and Food), </w:t>
      </w:r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and Region - Global Forecast to 2029" 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market is projected to grow from US$ 4.7 billion in 2020 to US$ 6.9 billion by 2029. 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Increasing use of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in fertilizer to improve nutrient quality of vegetables and fruits is major factor driving growth of the 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market.</w:t>
      </w:r>
      <w:r w:rsidRPr="00506B4D">
        <w:rPr>
          <w:rFonts w:ascii="Calibri" w:eastAsia="Times New Roman" w:hAnsi="Calibri" w:cs="Times New Roman"/>
          <w:color w:val="3C3C3C"/>
          <w:bdr w:val="none" w:sz="0" w:space="0" w:color="auto" w:frame="1"/>
        </w:rPr>
        <w:t> 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In addition, growing demand for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from glass industries is expected to boost growth of the 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market in the near future. Increasing research activities by players to produce technical grade, food grade, agriculture grade, pharmaceutical grade of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for specific applications is creating lucrative opportunities for players operating in the 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market.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Highlights:</w:t>
      </w:r>
    </w:p>
    <w:p w:rsidR="00506B4D" w:rsidRPr="00506B4D" w:rsidRDefault="00506B4D" w:rsidP="00506B4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 March 2019, for instance,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K S KALI GmbH has signed an agreement with </w:t>
      </w:r>
      <w:proofErr w:type="spellStart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Kalium</w:t>
      </w:r>
      <w:proofErr w:type="spellEnd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 Lakes, to purchase of up to 90,000 tons of the specialty fertilizer potassium sulfate per year from Australia.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Market Insights from the report:          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market accounted for US$ 4.7 billion in 2020 and is projected to register a CAGR of 4.3 % over the forecast period. The market report has been segmented on the basis of 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form, application, and region.</w:t>
      </w:r>
    </w:p>
    <w:p w:rsidR="00506B4D" w:rsidRPr="00506B4D" w:rsidRDefault="00506B4D" w:rsidP="00506B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By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form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the powder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 is accounted for major revenue share in 2018, owing to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increasing demand from fertilizer manufacturers and healthcare sector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506B4D" w:rsidRPr="00506B4D" w:rsidRDefault="00506B4D" w:rsidP="00506B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By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application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the agriculture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 is accounted for major revenue share in 2018, owing to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government funding for research and development of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potassium </w:t>
      </w:r>
      <w:proofErr w:type="spellStart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fertilizer products and rising awareness among farmers about their usage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06B4D" w:rsidRPr="00506B4D" w:rsidRDefault="00506B4D" w:rsidP="00506B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By region,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North America potassium </w:t>
      </w:r>
      <w:proofErr w:type="spellStart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market accounted for major revenue share of the global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potassium </w:t>
      </w:r>
      <w:proofErr w:type="spellStart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market and is further anticipated to maintain its dominance over the forecast period. </w:t>
      </w:r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This is owing to presence of major manufacturing industries and increasing government spending for development of agriculture sector in the countries of the Asia Pacific region. Europe potassium </w:t>
      </w:r>
      <w:proofErr w:type="spellStart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sulphate</w:t>
      </w:r>
      <w:proofErr w:type="spellEnd"/>
      <w:r w:rsidRPr="00506B4D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 market is expected to grow at the highest rate during the forecast period, 2019, due to increasing demand from food and beverage sector in countries of the region.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Browse 60 market data tables* and 35 figures* through 140 slides and in-depth TOC on "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B4D">
        <w:rPr>
          <w:rFonts w:ascii="Calibri" w:eastAsia="Times New Roman" w:hAnsi="Calibri" w:cs="Times New Roman"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 xml:space="preserve">Global Potassium </w:t>
      </w:r>
      <w:proofErr w:type="spellStart"/>
      <w:r w:rsidRPr="00506B4D">
        <w:rPr>
          <w:rFonts w:ascii="Calibri" w:eastAsia="Times New Roman" w:hAnsi="Calibri" w:cs="Times New Roman"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>Sulphate</w:t>
      </w:r>
      <w:proofErr w:type="spellEnd"/>
      <w:r w:rsidRPr="00506B4D">
        <w:rPr>
          <w:rFonts w:ascii="Calibri" w:eastAsia="Times New Roman" w:hAnsi="Calibri" w:cs="Times New Roman"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 xml:space="preserve"> Market”, By Form (Granular, Powder, and Liquid), By Application (Agriculture, Industrial, Pharmaceutical, Cosmetics, and Food), and By Region (North America, Europe, Asia-Pacific, Latin America, and Middle East &amp; Africa</w:t>
      </w:r>
      <w:proofErr w:type="gramStart"/>
      <w:r w:rsidRPr="00506B4D">
        <w:rPr>
          <w:rFonts w:ascii="Calibri" w:eastAsia="Times New Roman" w:hAnsi="Calibri" w:cs="Times New Roman"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>)-</w:t>
      </w:r>
      <w:proofErr w:type="gramEnd"/>
      <w:r w:rsidRPr="00506B4D">
        <w:rPr>
          <w:rFonts w:ascii="Calibri" w:eastAsia="Times New Roman" w:hAnsi="Calibri" w:cs="Times New Roman"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 xml:space="preserve"> forecast till 2029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i/>
          <w:iCs/>
          <w:color w:val="000000"/>
          <w:sz w:val="24"/>
          <w:szCs w:val="24"/>
          <w:bdr w:val="none" w:sz="0" w:space="0" w:color="auto" w:frame="1"/>
        </w:rPr>
        <w:t>To know the upcoming trends and insights prevalent in this market, click the link below</w:t>
      </w:r>
      <w:r w:rsidRPr="00506B4D">
        <w:rPr>
          <w:rFonts w:ascii="Calibri" w:eastAsia="Times New Roman" w:hAnsi="Calibri" w:cs="Times New Roman"/>
          <w:b/>
          <w:bCs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Links</w:t>
      </w:r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hyperlink r:id="rId5" w:history="1">
        <w:r w:rsidRPr="00506B4D">
          <w:rPr>
            <w:rFonts w:ascii="Open Sans" w:eastAsia="Times New Roman" w:hAnsi="Open Sans" w:cs="Times New Roman"/>
            <w:color w:val="80819F"/>
            <w:sz w:val="23"/>
            <w:szCs w:val="23"/>
            <w:bdr w:val="none" w:sz="0" w:space="0" w:color="auto" w:frame="1"/>
            <w:shd w:val="clear" w:color="auto" w:fill="F5F5F5"/>
          </w:rPr>
          <w:t>https://www.prophecymarketinsights.com/market_insight/Global-Potassium-Sulphate-Market-By-546</w:t>
        </w:r>
      </w:hyperlink>
    </w:p>
    <w:p w:rsidR="00506B4D" w:rsidRPr="00506B4D" w:rsidRDefault="00506B4D" w:rsidP="00506B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prominent player operating in the global Potassium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Sulphate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market includes </w:t>
      </w:r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Compass Minerals International, Inc., K S KALI GmbH, SESODA Corporation,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Tessenderlo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Group, SQM (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Sociedad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Quimica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Minera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de Chile SA), United Co. RUSAL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Plc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, SDIC Xinjiang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Luobupo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Potash Company Limited.,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Yara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International ASA.,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Migao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Corporation, and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Kemira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Kemi</w:t>
      </w:r>
      <w:proofErr w:type="spellEnd"/>
      <w:r w:rsidRPr="00506B4D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AB.</w:t>
      </w:r>
    </w:p>
    <w:p w:rsidR="00DC7008" w:rsidRDefault="00DC7008"/>
    <w:sectPr w:rsidR="00DC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2F84"/>
    <w:multiLevelType w:val="multilevel"/>
    <w:tmpl w:val="4728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54CEC"/>
    <w:multiLevelType w:val="multilevel"/>
    <w:tmpl w:val="80F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4D"/>
    <w:rsid w:val="00506B4D"/>
    <w:rsid w:val="00D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C14D-1F9F-439D-A1D1-E42763B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B4D"/>
    <w:rPr>
      <w:b/>
      <w:bCs/>
    </w:rPr>
  </w:style>
  <w:style w:type="character" w:styleId="Emphasis">
    <w:name w:val="Emphasis"/>
    <w:basedOn w:val="DefaultParagraphFont"/>
    <w:uiPriority w:val="20"/>
    <w:qFormat/>
    <w:rsid w:val="00506B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6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phecymarketinsights.com/market_insight/Global-Potassium-Sulphate-Market-By-5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</cp:revision>
  <dcterms:created xsi:type="dcterms:W3CDTF">2022-11-23T05:30:00Z</dcterms:created>
  <dcterms:modified xsi:type="dcterms:W3CDTF">2022-11-23T05:40:00Z</dcterms:modified>
</cp:coreProperties>
</file>