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color w:val="3C3C3C"/>
          <w:sz w:val="24"/>
          <w:szCs w:val="24"/>
          <w:bdr w:val="none" w:sz="0" w:space="0" w:color="auto" w:frame="1"/>
          <w:shd w:val="clear" w:color="auto" w:fill="FFFFFF"/>
        </w:rPr>
        <w:t>The global </w:t>
      </w:r>
      <w:bookmarkStart w:id="0" w:name="_GoBack"/>
      <w:r w:rsidRPr="00486ED2">
        <w:rPr>
          <w:rFonts w:ascii="Calibri" w:eastAsia="Times New Roman" w:hAnsi="Calibri" w:cs="Times New Roman"/>
          <w:b/>
          <w:bCs/>
          <w:color w:val="3C3C3C"/>
          <w:sz w:val="24"/>
          <w:szCs w:val="24"/>
          <w:bdr w:val="none" w:sz="0" w:space="0" w:color="auto" w:frame="1"/>
          <w:shd w:val="clear" w:color="auto" w:fill="FFFFFF"/>
        </w:rPr>
        <w:t>animal health </w:t>
      </w:r>
      <w:r w:rsidRPr="00486ED2">
        <w:rPr>
          <w:rFonts w:ascii="Calibri" w:eastAsia="Times New Roman" w:hAnsi="Calibri" w:cs="Times New Roman"/>
          <w:color w:val="3C3C3C"/>
          <w:sz w:val="24"/>
          <w:szCs w:val="24"/>
          <w:bdr w:val="none" w:sz="0" w:space="0" w:color="auto" w:frame="1"/>
          <w:shd w:val="clear" w:color="auto" w:fill="FFFFFF"/>
        </w:rPr>
        <w:t xml:space="preserve">market </w:t>
      </w:r>
      <w:bookmarkEnd w:id="0"/>
      <w:r w:rsidRPr="00486ED2">
        <w:rPr>
          <w:rFonts w:ascii="Calibri" w:eastAsia="Times New Roman" w:hAnsi="Calibri" w:cs="Times New Roman"/>
          <w:color w:val="3C3C3C"/>
          <w:sz w:val="24"/>
          <w:szCs w:val="24"/>
          <w:bdr w:val="none" w:sz="0" w:space="0" w:color="auto" w:frame="1"/>
          <w:shd w:val="clear" w:color="auto" w:fill="FFFFFF"/>
        </w:rPr>
        <w:t>accounted for US$ 1.98 billion in 2020 and is estimated to be 3.47 billion by 2030 and is anticipated to register a CAGR of 5.8%.</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color w:val="3C3C3C"/>
          <w:sz w:val="24"/>
          <w:szCs w:val="24"/>
          <w:bdr w:val="none" w:sz="0" w:space="0" w:color="auto" w:frame="1"/>
          <w:shd w:val="clear" w:color="auto" w:fill="FFFFFF"/>
        </w:rPr>
        <w:t>The report. </w:t>
      </w:r>
      <w:r w:rsidRPr="00486ED2">
        <w:rPr>
          <w:rFonts w:ascii="Times New Roman" w:eastAsia="Times New Roman" w:hAnsi="Times New Roman" w:cs="Times New Roman"/>
          <w:color w:val="3C3C3C"/>
          <w:sz w:val="28"/>
          <w:szCs w:val="28"/>
          <w:bdr w:val="none" w:sz="0" w:space="0" w:color="auto" w:frame="1"/>
        </w:rPr>
        <w:t>"</w:t>
      </w:r>
      <w:r w:rsidRPr="00486ED2">
        <w:rPr>
          <w:rFonts w:ascii="Calibri" w:eastAsia="Times New Roman" w:hAnsi="Calibri" w:cs="Times New Roman"/>
          <w:b/>
          <w:bCs/>
          <w:color w:val="3C3C3C"/>
          <w:sz w:val="28"/>
          <w:szCs w:val="28"/>
          <w:bdr w:val="none" w:sz="0" w:space="0" w:color="auto" w:frame="1"/>
        </w:rPr>
        <w:t>Global</w:t>
      </w:r>
      <w:r w:rsidRPr="00486ED2">
        <w:rPr>
          <w:rFonts w:ascii="Times New Roman" w:eastAsia="Times New Roman" w:hAnsi="Times New Roman" w:cs="Times New Roman"/>
          <w:b/>
          <w:bCs/>
          <w:color w:val="3C3C3C"/>
          <w:sz w:val="24"/>
          <w:szCs w:val="24"/>
          <w:bdr w:val="none" w:sz="0" w:space="0" w:color="auto" w:frame="1"/>
        </w:rPr>
        <w:t> </w:t>
      </w:r>
      <w:r w:rsidRPr="00486ED2">
        <w:rPr>
          <w:rFonts w:ascii="Calibri" w:eastAsia="Times New Roman" w:hAnsi="Calibri" w:cs="Times New Roman"/>
          <w:b/>
          <w:bCs/>
          <w:color w:val="3C3C3C"/>
          <w:sz w:val="28"/>
          <w:szCs w:val="28"/>
          <w:bdr w:val="none" w:sz="0" w:space="0" w:color="auto" w:frame="1"/>
        </w:rPr>
        <w:t>Animal Health Market, By Animal Type (Production Animal (Poultry, Swine, Cattle, Sheep &amp; Goats, and Fish) and Companion Animal (Dogs, Cats, Horses, and Others)), By Product (Vaccines (Live Attenuated Vaccines, DNA Vaccines, Recombinant Vaccines, Inactivated Vaccines, and Others), Pharmaceuticals (</w:t>
      </w:r>
      <w:proofErr w:type="spellStart"/>
      <w:r w:rsidRPr="00486ED2">
        <w:rPr>
          <w:rFonts w:ascii="Calibri" w:eastAsia="Times New Roman" w:hAnsi="Calibri" w:cs="Times New Roman"/>
          <w:b/>
          <w:bCs/>
          <w:color w:val="3C3C3C"/>
          <w:sz w:val="28"/>
          <w:szCs w:val="28"/>
          <w:bdr w:val="none" w:sz="0" w:space="0" w:color="auto" w:frame="1"/>
        </w:rPr>
        <w:t>Parasiticides</w:t>
      </w:r>
      <w:proofErr w:type="spellEnd"/>
      <w:r w:rsidRPr="00486ED2">
        <w:rPr>
          <w:rFonts w:ascii="Calibri" w:eastAsia="Times New Roman" w:hAnsi="Calibri" w:cs="Times New Roman"/>
          <w:b/>
          <w:bCs/>
          <w:color w:val="3C3C3C"/>
          <w:sz w:val="28"/>
          <w:szCs w:val="28"/>
          <w:bdr w:val="none" w:sz="0" w:space="0" w:color="auto" w:frame="1"/>
        </w:rPr>
        <w:t>, Anti-</w:t>
      </w:r>
      <w:proofErr w:type="spellStart"/>
      <w:r w:rsidRPr="00486ED2">
        <w:rPr>
          <w:rFonts w:ascii="Calibri" w:eastAsia="Times New Roman" w:hAnsi="Calibri" w:cs="Times New Roman"/>
          <w:b/>
          <w:bCs/>
          <w:color w:val="3C3C3C"/>
          <w:sz w:val="28"/>
          <w:szCs w:val="28"/>
          <w:bdr w:val="none" w:sz="0" w:space="0" w:color="auto" w:frame="1"/>
        </w:rPr>
        <w:t>infectives</w:t>
      </w:r>
      <w:proofErr w:type="spellEnd"/>
      <w:r w:rsidRPr="00486ED2">
        <w:rPr>
          <w:rFonts w:ascii="Calibri" w:eastAsia="Times New Roman" w:hAnsi="Calibri" w:cs="Times New Roman"/>
          <w:b/>
          <w:bCs/>
          <w:color w:val="3C3C3C"/>
          <w:sz w:val="28"/>
          <w:szCs w:val="28"/>
          <w:bdr w:val="none" w:sz="0" w:space="0" w:color="auto" w:frame="1"/>
        </w:rPr>
        <w:t>, Anti-inflammatory, Analgesics, and Others), Feed Additives (Nutritional, Medicinal, Diagnostics, Instruments, and Consumables), and Others)), By Distribution Channel (Retail, E-commerce, and Veterinary Hospitals &amp; Clinics), By End-use (Reference Laboratories, Point-of-care Testing/In-house Testing, Veterinary Hospitals &amp; Clinics, and Others),  and By Region (North America, Europe, Asia Pacific, Latin America, and Middle East &amp; Africa) - Trends, Analysis and Forecast till 2030”</w:t>
      </w:r>
      <w:r w:rsidRPr="00486ED2">
        <w:rPr>
          <w:rFonts w:ascii="Times New Roman" w:eastAsia="Times New Roman" w:hAnsi="Times New Roman" w:cs="Times New Roman"/>
          <w:color w:val="3C3C3C"/>
          <w:sz w:val="28"/>
          <w:szCs w:val="28"/>
          <w:bdr w:val="none" w:sz="0" w:space="0" w:color="auto" w:frame="1"/>
        </w:rPr>
        <w:t>.</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b/>
          <w:bCs/>
          <w:color w:val="3C3C3C"/>
          <w:sz w:val="24"/>
          <w:szCs w:val="24"/>
          <w:bdr w:val="none" w:sz="0" w:space="0" w:color="auto" w:frame="1"/>
          <w:shd w:val="clear" w:color="auto" w:fill="FFFFFF"/>
        </w:rPr>
        <w:t>Key Highlights:</w:t>
      </w:r>
    </w:p>
    <w:p w:rsidR="00486ED2" w:rsidRPr="00486ED2" w:rsidRDefault="00486ED2" w:rsidP="00486ED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486ED2">
        <w:rPr>
          <w:rFonts w:ascii="Calibri" w:eastAsia="Times New Roman" w:hAnsi="Calibri" w:cs="Times New Roman"/>
          <w:color w:val="3C3C3C"/>
          <w:sz w:val="24"/>
          <w:szCs w:val="24"/>
          <w:bdr w:val="none" w:sz="0" w:space="0" w:color="auto" w:frame="1"/>
        </w:rPr>
        <w:t xml:space="preserve">In January 2018, </w:t>
      </w:r>
      <w:proofErr w:type="spellStart"/>
      <w:r w:rsidRPr="00486ED2">
        <w:rPr>
          <w:rFonts w:ascii="Calibri" w:eastAsia="Times New Roman" w:hAnsi="Calibri" w:cs="Times New Roman"/>
          <w:color w:val="3C3C3C"/>
          <w:sz w:val="24"/>
          <w:szCs w:val="24"/>
          <w:bdr w:val="none" w:sz="0" w:space="0" w:color="auto" w:frame="1"/>
        </w:rPr>
        <w:t>Zoetis</w:t>
      </w:r>
      <w:proofErr w:type="spellEnd"/>
      <w:r w:rsidRPr="00486ED2">
        <w:rPr>
          <w:rFonts w:ascii="Calibri" w:eastAsia="Times New Roman" w:hAnsi="Calibri" w:cs="Times New Roman"/>
          <w:color w:val="3C3C3C"/>
          <w:sz w:val="24"/>
          <w:szCs w:val="24"/>
          <w:bdr w:val="none" w:sz="0" w:space="0" w:color="auto" w:frame="1"/>
        </w:rPr>
        <w:t xml:space="preserve"> aquaculture division, PHARMAQ acquired </w:t>
      </w:r>
      <w:proofErr w:type="spellStart"/>
      <w:r w:rsidRPr="00486ED2">
        <w:rPr>
          <w:rFonts w:ascii="Calibri" w:eastAsia="Times New Roman" w:hAnsi="Calibri" w:cs="Times New Roman"/>
          <w:color w:val="3C3C3C"/>
          <w:sz w:val="24"/>
          <w:szCs w:val="24"/>
          <w:bdr w:val="none" w:sz="0" w:space="0" w:color="auto" w:frame="1"/>
        </w:rPr>
        <w:t>Norland</w:t>
      </w:r>
      <w:proofErr w:type="spellEnd"/>
      <w:r w:rsidRPr="00486ED2">
        <w:rPr>
          <w:rFonts w:ascii="Calibri" w:eastAsia="Times New Roman" w:hAnsi="Calibri" w:cs="Times New Roman"/>
          <w:color w:val="3C3C3C"/>
          <w:sz w:val="24"/>
          <w:szCs w:val="24"/>
          <w:bdr w:val="none" w:sz="0" w:space="0" w:color="auto" w:frame="1"/>
        </w:rPr>
        <w:t xml:space="preserve"> Sett </w:t>
      </w:r>
      <w:proofErr w:type="spellStart"/>
      <w:r w:rsidRPr="00486ED2">
        <w:rPr>
          <w:rFonts w:ascii="Calibri" w:eastAsia="Times New Roman" w:hAnsi="Calibri" w:cs="Times New Roman"/>
          <w:color w:val="3C3C3C"/>
          <w:sz w:val="24"/>
          <w:szCs w:val="24"/>
          <w:bdr w:val="none" w:sz="0" w:space="0" w:color="auto" w:frame="1"/>
        </w:rPr>
        <w:t>Vaks</w:t>
      </w:r>
      <w:proofErr w:type="spellEnd"/>
      <w:r w:rsidRPr="00486ED2">
        <w:rPr>
          <w:rFonts w:ascii="Calibri" w:eastAsia="Times New Roman" w:hAnsi="Calibri" w:cs="Times New Roman"/>
          <w:color w:val="3C3C3C"/>
          <w:sz w:val="24"/>
          <w:szCs w:val="24"/>
          <w:bdr w:val="none" w:sz="0" w:space="0" w:color="auto" w:frame="1"/>
        </w:rPr>
        <w:t xml:space="preserve"> to enhance its portfolio for vaccines products.</w:t>
      </w:r>
    </w:p>
    <w:p w:rsidR="00486ED2" w:rsidRPr="00486ED2" w:rsidRDefault="00486ED2" w:rsidP="00486ED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486ED2">
        <w:rPr>
          <w:rFonts w:ascii="Calibri" w:eastAsia="Times New Roman" w:hAnsi="Calibri" w:cs="Times New Roman"/>
          <w:color w:val="3C3C3C"/>
          <w:sz w:val="24"/>
          <w:szCs w:val="24"/>
          <w:bdr w:val="none" w:sz="0" w:space="0" w:color="auto" w:frame="1"/>
        </w:rPr>
        <w:t xml:space="preserve">In March 2018, Merck completed the acquisition of </w:t>
      </w:r>
      <w:proofErr w:type="spellStart"/>
      <w:r w:rsidRPr="00486ED2">
        <w:rPr>
          <w:rFonts w:ascii="Calibri" w:eastAsia="Times New Roman" w:hAnsi="Calibri" w:cs="Times New Roman"/>
          <w:color w:val="3C3C3C"/>
          <w:sz w:val="24"/>
          <w:szCs w:val="24"/>
          <w:bdr w:val="none" w:sz="0" w:space="0" w:color="auto" w:frame="1"/>
        </w:rPr>
        <w:t>Vallee</w:t>
      </w:r>
      <w:proofErr w:type="spellEnd"/>
      <w:r w:rsidRPr="00486ED2">
        <w:rPr>
          <w:rFonts w:ascii="Calibri" w:eastAsia="Times New Roman" w:hAnsi="Calibri" w:cs="Times New Roman"/>
          <w:color w:val="3C3C3C"/>
          <w:sz w:val="24"/>
          <w:szCs w:val="24"/>
          <w:bdr w:val="none" w:sz="0" w:space="0" w:color="auto" w:frame="1"/>
        </w:rPr>
        <w:t xml:space="preserve"> S.A. This acquisition was aimed to increase the former company’s animal health product portfolio and drive its presence in Brazil.</w:t>
      </w:r>
    </w:p>
    <w:p w:rsidR="00486ED2" w:rsidRPr="00486ED2" w:rsidRDefault="00486ED2" w:rsidP="00486ED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486ED2">
        <w:rPr>
          <w:rFonts w:ascii="Calibri" w:eastAsia="Times New Roman" w:hAnsi="Calibri" w:cs="Times New Roman"/>
          <w:color w:val="3C3C3C"/>
          <w:sz w:val="24"/>
          <w:szCs w:val="24"/>
          <w:bdr w:val="none" w:sz="0" w:space="0" w:color="auto" w:frame="1"/>
        </w:rPr>
        <w:t xml:space="preserve">In April 2019, Merck acquired </w:t>
      </w:r>
      <w:proofErr w:type="spellStart"/>
      <w:r w:rsidRPr="00486ED2">
        <w:rPr>
          <w:rFonts w:ascii="Calibri" w:eastAsia="Times New Roman" w:hAnsi="Calibri" w:cs="Times New Roman"/>
          <w:color w:val="3C3C3C"/>
          <w:sz w:val="24"/>
          <w:szCs w:val="24"/>
          <w:bdr w:val="none" w:sz="0" w:space="0" w:color="auto" w:frame="1"/>
        </w:rPr>
        <w:t>Antelliq</w:t>
      </w:r>
      <w:proofErr w:type="spellEnd"/>
      <w:r w:rsidRPr="00486ED2">
        <w:rPr>
          <w:rFonts w:ascii="Calibri" w:eastAsia="Times New Roman" w:hAnsi="Calibri" w:cs="Times New Roman"/>
          <w:color w:val="3C3C3C"/>
          <w:sz w:val="24"/>
          <w:szCs w:val="24"/>
          <w:bdr w:val="none" w:sz="0" w:space="0" w:color="auto" w:frame="1"/>
        </w:rPr>
        <w:t xml:space="preserve"> Corporation operational in the digital field of animal traceability, identification, and monitoring solutions. This acquisition aimed to improve the veterinary vaccines and pharmaceutical solutions portfolio of the company.</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b/>
          <w:bCs/>
          <w:color w:val="3C3C3C"/>
          <w:sz w:val="24"/>
          <w:szCs w:val="24"/>
          <w:bdr w:val="none" w:sz="0" w:space="0" w:color="auto" w:frame="1"/>
        </w:rPr>
        <w:t>Analyst View:</w:t>
      </w:r>
    </w:p>
    <w:p w:rsidR="00486ED2" w:rsidRPr="00486ED2" w:rsidRDefault="00486ED2" w:rsidP="00486ED2">
      <w:pPr>
        <w:shd w:val="clear" w:color="auto" w:fill="FFFFFF"/>
        <w:spacing w:after="0" w:line="240" w:lineRule="auto"/>
        <w:jc w:val="center"/>
        <w:rPr>
          <w:rFonts w:ascii="Open Sans" w:eastAsia="Times New Roman" w:hAnsi="Open Sans" w:cs="Times New Roman"/>
          <w:color w:val="3C3C3C"/>
          <w:sz w:val="23"/>
          <w:szCs w:val="23"/>
        </w:rPr>
      </w:pPr>
      <w:r w:rsidRPr="00486ED2">
        <w:rPr>
          <w:rFonts w:ascii="Calibri" w:eastAsia="Times New Roman" w:hAnsi="Calibri" w:cs="Times New Roman"/>
          <w:b/>
          <w:bCs/>
          <w:i/>
          <w:iCs/>
          <w:color w:val="80819F"/>
          <w:sz w:val="24"/>
          <w:szCs w:val="24"/>
          <w:bdr w:val="none" w:sz="0" w:space="0" w:color="auto" w:frame="1"/>
        </w:rPr>
        <w:t>Technological advancements in veterinary health care</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color w:val="3C3C3C"/>
          <w:sz w:val="24"/>
          <w:szCs w:val="24"/>
          <w:bdr w:val="none" w:sz="0" w:space="0" w:color="auto" w:frame="1"/>
        </w:rPr>
        <w:t>Advancements in veterinary health care technological is driving the growth of this market, and this is expected to offer future growth opportunities for the market. These advancements include introduction of efficient information management systems, vaccine banks, and animal owner mobile technology. High innovation focus on animal health care has led to rising certain measures that are strengthening the growth of the market prospects. For instance, the Innovative Medicines Initiative (IMI) is a public-private partnership to promote collaborative research in order to drive veterinary pharmaceuticals innovations in Europe.</w:t>
      </w:r>
    </w:p>
    <w:p w:rsidR="00486ED2" w:rsidRPr="00486ED2" w:rsidRDefault="00486ED2" w:rsidP="00486ED2">
      <w:pPr>
        <w:shd w:val="clear" w:color="auto" w:fill="FFFFFF"/>
        <w:spacing w:after="0" w:line="240" w:lineRule="auto"/>
        <w:jc w:val="center"/>
        <w:rPr>
          <w:rFonts w:ascii="Open Sans" w:eastAsia="Times New Roman" w:hAnsi="Open Sans" w:cs="Times New Roman"/>
          <w:color w:val="3C3C3C"/>
          <w:sz w:val="23"/>
          <w:szCs w:val="23"/>
        </w:rPr>
      </w:pPr>
      <w:r w:rsidRPr="00486ED2">
        <w:rPr>
          <w:rFonts w:ascii="Calibri" w:eastAsia="Times New Roman" w:hAnsi="Calibri" w:cs="Times New Roman"/>
          <w:b/>
          <w:bCs/>
          <w:i/>
          <w:iCs/>
          <w:color w:val="80819F"/>
          <w:sz w:val="24"/>
          <w:szCs w:val="24"/>
          <w:bdr w:val="none" w:sz="0" w:space="0" w:color="auto" w:frame="1"/>
        </w:rPr>
        <w:t>The rising number of government initiatives</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color w:val="3C3C3C"/>
          <w:sz w:val="24"/>
          <w:szCs w:val="24"/>
          <w:bdr w:val="none" w:sz="0" w:space="0" w:color="auto" w:frame="1"/>
        </w:rPr>
        <w:t>A growing number of government initiatives to support animal health products is accelerated to the overall market. As per the data published by UN Department of Economic and Social Affairs, the global population is around 7.3 billion and it is projected to reach nearly 9.7 billion by 2050, of which 795 million people are malnourished, as per the projection of the International Fund for Agricultural Development (IFAD).</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w:t>
      </w:r>
      <w:r w:rsidRPr="00486ED2">
        <w:rPr>
          <w:rFonts w:ascii="Calibri" w:eastAsia="Times New Roman" w:hAnsi="Calibri" w:cs="Times New Roman"/>
          <w:i/>
          <w:iCs/>
          <w:color w:val="80819F"/>
          <w:sz w:val="20"/>
          <w:szCs w:val="20"/>
          <w:bdr w:val="none" w:sz="0" w:space="0" w:color="auto" w:frame="1"/>
        </w:rPr>
        <w:t>Global </w:t>
      </w:r>
      <w:r w:rsidRPr="00486ED2">
        <w:rPr>
          <w:rFonts w:ascii="Calibri" w:eastAsia="Times New Roman" w:hAnsi="Calibri" w:cs="Times New Roman"/>
          <w:color w:val="3C3C3C"/>
          <w:sz w:val="20"/>
          <w:szCs w:val="20"/>
          <w:bdr w:val="none" w:sz="0" w:space="0" w:color="auto" w:frame="1"/>
        </w:rPr>
        <w:t>Animal Health</w:t>
      </w:r>
      <w:r w:rsidRPr="00486ED2">
        <w:rPr>
          <w:rFonts w:ascii="Calibri" w:eastAsia="Times New Roman" w:hAnsi="Calibri" w:cs="Times New Roman"/>
          <w:i/>
          <w:iCs/>
          <w:color w:val="80819F"/>
          <w:sz w:val="20"/>
          <w:szCs w:val="20"/>
          <w:bdr w:val="none" w:sz="0" w:space="0" w:color="auto" w:frame="1"/>
        </w:rPr>
        <w:t> Market”, By Animal Type (Production Animal (Poultry, Swine, Cattle, Sheep &amp; Goats, and Fish) and Companion Animal (Dogs, Cats, Horses, and Others)), By Product (Vaccines (Live Attenuated Vaccines, DNA Vaccines, Recombinant Vaccines, Inactivated Vaccines, and Others), Pharmaceuticals (</w:t>
      </w:r>
      <w:proofErr w:type="spellStart"/>
      <w:r w:rsidRPr="00486ED2">
        <w:rPr>
          <w:rFonts w:ascii="Calibri" w:eastAsia="Times New Roman" w:hAnsi="Calibri" w:cs="Times New Roman"/>
          <w:i/>
          <w:iCs/>
          <w:color w:val="80819F"/>
          <w:sz w:val="20"/>
          <w:szCs w:val="20"/>
          <w:bdr w:val="none" w:sz="0" w:space="0" w:color="auto" w:frame="1"/>
        </w:rPr>
        <w:t>Parasiticides</w:t>
      </w:r>
      <w:proofErr w:type="spellEnd"/>
      <w:r w:rsidRPr="00486ED2">
        <w:rPr>
          <w:rFonts w:ascii="Calibri" w:eastAsia="Times New Roman" w:hAnsi="Calibri" w:cs="Times New Roman"/>
          <w:i/>
          <w:iCs/>
          <w:color w:val="80819F"/>
          <w:sz w:val="20"/>
          <w:szCs w:val="20"/>
          <w:bdr w:val="none" w:sz="0" w:space="0" w:color="auto" w:frame="1"/>
        </w:rPr>
        <w:t>, Anti-</w:t>
      </w:r>
      <w:proofErr w:type="spellStart"/>
      <w:r w:rsidRPr="00486ED2">
        <w:rPr>
          <w:rFonts w:ascii="Calibri" w:eastAsia="Times New Roman" w:hAnsi="Calibri" w:cs="Times New Roman"/>
          <w:i/>
          <w:iCs/>
          <w:color w:val="80819F"/>
          <w:sz w:val="20"/>
          <w:szCs w:val="20"/>
          <w:bdr w:val="none" w:sz="0" w:space="0" w:color="auto" w:frame="1"/>
        </w:rPr>
        <w:t>infectives</w:t>
      </w:r>
      <w:proofErr w:type="spellEnd"/>
      <w:r w:rsidRPr="00486ED2">
        <w:rPr>
          <w:rFonts w:ascii="Calibri" w:eastAsia="Times New Roman" w:hAnsi="Calibri" w:cs="Times New Roman"/>
          <w:i/>
          <w:iCs/>
          <w:color w:val="80819F"/>
          <w:sz w:val="20"/>
          <w:szCs w:val="20"/>
          <w:bdr w:val="none" w:sz="0" w:space="0" w:color="auto" w:frame="1"/>
        </w:rPr>
        <w:t>, Anti-inflammatory, Analgesics, and Others), Feed Additives (Nutritional, Medicinal, Diagnostics, Instruments, and Consumables), and Others)), By Distribution Channel (Retail, E-commerce, and Veterinary Hospitals &amp; Clinics), By End-</w:t>
      </w:r>
      <w:r w:rsidRPr="00486ED2">
        <w:rPr>
          <w:rFonts w:ascii="Calibri" w:eastAsia="Times New Roman" w:hAnsi="Calibri" w:cs="Times New Roman"/>
          <w:i/>
          <w:iCs/>
          <w:color w:val="80819F"/>
          <w:sz w:val="20"/>
          <w:szCs w:val="20"/>
          <w:bdr w:val="none" w:sz="0" w:space="0" w:color="auto" w:frame="1"/>
        </w:rPr>
        <w:lastRenderedPageBreak/>
        <w:t>use (Reference Laboratories, Point-of-care Testing/In-house Testing, Veterinary Hospitals &amp; Clinics, and Others), and By Region (North America, Europe, Asia Pacific, Latin America, and Middle East &amp; Africa) - Trends, Analysis and Forecast till 2030</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color w:val="3C3C3C"/>
          <w:sz w:val="24"/>
          <w:szCs w:val="24"/>
          <w:bdr w:val="none" w:sz="0" w:space="0" w:color="auto" w:frame="1"/>
          <w:shd w:val="clear" w:color="auto" w:fill="FFFFFF"/>
        </w:rPr>
        <w:t>The global </w:t>
      </w:r>
      <w:r w:rsidRPr="00486ED2">
        <w:rPr>
          <w:rFonts w:ascii="Calibri" w:eastAsia="Times New Roman" w:hAnsi="Calibri" w:cs="Times New Roman"/>
          <w:b/>
          <w:bCs/>
          <w:color w:val="3C3C3C"/>
          <w:sz w:val="24"/>
          <w:szCs w:val="24"/>
          <w:bdr w:val="none" w:sz="0" w:space="0" w:color="auto" w:frame="1"/>
          <w:shd w:val="clear" w:color="auto" w:fill="FFFFFF"/>
        </w:rPr>
        <w:t>animal health </w:t>
      </w:r>
      <w:r w:rsidRPr="00486ED2">
        <w:rPr>
          <w:rFonts w:ascii="Calibri" w:eastAsia="Times New Roman" w:hAnsi="Calibri" w:cs="Times New Roman"/>
          <w:color w:val="3C3C3C"/>
          <w:sz w:val="24"/>
          <w:szCs w:val="24"/>
          <w:bdr w:val="none" w:sz="0" w:space="0" w:color="auto" w:frame="1"/>
          <w:shd w:val="clear" w:color="auto" w:fill="FFFFFF"/>
        </w:rPr>
        <w:t>market accounted for US$ 1.98 billion in 2020 and is estimated to be </w:t>
      </w:r>
      <w:r w:rsidRPr="00486ED2">
        <w:rPr>
          <w:rFonts w:ascii="Open Sans" w:eastAsia="Times New Roman" w:hAnsi="Open Sans" w:cs="Times New Roman"/>
          <w:color w:val="3C3C3C"/>
          <w:sz w:val="23"/>
          <w:szCs w:val="23"/>
        </w:rPr>
        <w:t>3.47</w:t>
      </w:r>
      <w:r w:rsidRPr="00486ED2">
        <w:rPr>
          <w:rFonts w:ascii="Calibri" w:eastAsia="Times New Roman" w:hAnsi="Calibri" w:cs="Times New Roman"/>
          <w:color w:val="3C3C3C"/>
          <w:sz w:val="24"/>
          <w:szCs w:val="24"/>
          <w:bdr w:val="none" w:sz="0" w:space="0" w:color="auto" w:frame="1"/>
          <w:shd w:val="clear" w:color="auto" w:fill="FFFFFF"/>
        </w:rPr>
        <w:t> billion by 2030 and is anticipated to register a CAGR of 5.8%. The market report has been segmented on the basis of </w:t>
      </w:r>
      <w:r w:rsidRPr="00486ED2">
        <w:rPr>
          <w:rFonts w:ascii="Calibri" w:eastAsia="Times New Roman" w:hAnsi="Calibri" w:cs="Times New Roman"/>
          <w:color w:val="3C3C3C"/>
          <w:sz w:val="24"/>
          <w:szCs w:val="24"/>
          <w:bdr w:val="none" w:sz="0" w:space="0" w:color="auto" w:frame="1"/>
        </w:rPr>
        <w:t>animal type, product, distribution channel, end-user, and region.</w:t>
      </w:r>
    </w:p>
    <w:p w:rsidR="00486ED2" w:rsidRPr="00486ED2" w:rsidRDefault="00486ED2" w:rsidP="00486E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486ED2">
        <w:rPr>
          <w:rFonts w:ascii="Calibri" w:eastAsia="Times New Roman" w:hAnsi="Calibri" w:cs="Times New Roman"/>
          <w:color w:val="3C3C3C"/>
          <w:sz w:val="24"/>
          <w:szCs w:val="24"/>
          <w:bdr w:val="none" w:sz="0" w:space="0" w:color="auto" w:frame="1"/>
          <w:shd w:val="clear" w:color="auto" w:fill="FFFFFF"/>
        </w:rPr>
        <w:t>By animal type, production animal segment continues to register for the maximum revenue share when compared to other animal type segments. This can be attributed to increased governments initiatives to ensure human food safety.</w:t>
      </w:r>
    </w:p>
    <w:p w:rsidR="00486ED2" w:rsidRPr="00486ED2" w:rsidRDefault="00486ED2" w:rsidP="00486E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486ED2">
        <w:rPr>
          <w:rFonts w:ascii="Calibri" w:eastAsia="Times New Roman" w:hAnsi="Calibri" w:cs="Times New Roman"/>
          <w:color w:val="000000"/>
          <w:sz w:val="24"/>
          <w:szCs w:val="24"/>
          <w:bdr w:val="none" w:sz="0" w:space="0" w:color="auto" w:frame="1"/>
        </w:rPr>
        <w:t>By </w:t>
      </w:r>
      <w:r w:rsidRPr="00486ED2">
        <w:rPr>
          <w:rFonts w:ascii="Calibri" w:eastAsia="Times New Roman" w:hAnsi="Calibri" w:cs="Times New Roman"/>
          <w:color w:val="3C3C3C"/>
          <w:sz w:val="24"/>
          <w:szCs w:val="24"/>
          <w:bdr w:val="none" w:sz="0" w:space="0" w:color="auto" w:frame="1"/>
          <w:shd w:val="clear" w:color="auto" w:fill="FFFFFF"/>
        </w:rPr>
        <w:t>product</w:t>
      </w:r>
      <w:r w:rsidRPr="00486ED2">
        <w:rPr>
          <w:rFonts w:ascii="Calibri" w:eastAsia="Times New Roman" w:hAnsi="Calibri" w:cs="Times New Roman"/>
          <w:color w:val="000000"/>
          <w:sz w:val="24"/>
          <w:szCs w:val="24"/>
          <w:bdr w:val="none" w:sz="0" w:space="0" w:color="auto" w:frame="1"/>
        </w:rPr>
        <w:t>, feed additives segment is expected to register for the highest revenue share over the forecast period. Advancements in products which include the use of enzymes, metabolic modifiers, minerals, and probiotics are driving the growth of the segment.</w:t>
      </w:r>
    </w:p>
    <w:p w:rsidR="00486ED2" w:rsidRPr="00486ED2" w:rsidRDefault="00486ED2" w:rsidP="00486E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486ED2">
        <w:rPr>
          <w:rFonts w:ascii="Calibri" w:eastAsia="Times New Roman" w:hAnsi="Calibri" w:cs="Times New Roman"/>
          <w:color w:val="000000"/>
          <w:sz w:val="24"/>
          <w:szCs w:val="24"/>
          <w:bdr w:val="none" w:sz="0" w:space="0" w:color="auto" w:frame="1"/>
        </w:rPr>
        <w:t>By </w:t>
      </w:r>
      <w:r w:rsidRPr="00486ED2">
        <w:rPr>
          <w:rFonts w:ascii="Calibri" w:eastAsia="Times New Roman" w:hAnsi="Calibri" w:cs="Times New Roman"/>
          <w:color w:val="3C3C3C"/>
          <w:sz w:val="24"/>
          <w:szCs w:val="24"/>
          <w:bdr w:val="none" w:sz="0" w:space="0" w:color="auto" w:frame="1"/>
        </w:rPr>
        <w:t>distribution channel</w:t>
      </w:r>
      <w:r w:rsidRPr="00486ED2">
        <w:rPr>
          <w:rFonts w:ascii="Calibri" w:eastAsia="Times New Roman" w:hAnsi="Calibri" w:cs="Times New Roman"/>
          <w:color w:val="000000"/>
          <w:sz w:val="24"/>
          <w:szCs w:val="24"/>
          <w:bdr w:val="none" w:sz="0" w:space="0" w:color="auto" w:frame="1"/>
        </w:rPr>
        <w:t>, hospitals &amp; clinics estimated for the dominant share in the animal health market in 2019. Growing number of hospital pharmacies, along with high procedural volume as a consequence of frequent readmission of pets for treatment, has boosted segment growth.</w:t>
      </w:r>
    </w:p>
    <w:p w:rsidR="00486ED2" w:rsidRPr="00486ED2" w:rsidRDefault="00486ED2" w:rsidP="00486E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486ED2">
        <w:rPr>
          <w:rFonts w:ascii="Calibri" w:eastAsia="Times New Roman" w:hAnsi="Calibri" w:cs="Times New Roman"/>
          <w:color w:val="000000"/>
          <w:sz w:val="24"/>
          <w:szCs w:val="24"/>
          <w:bdr w:val="none" w:sz="0" w:space="0" w:color="auto" w:frame="1"/>
        </w:rPr>
        <w:t>By</w:t>
      </w:r>
      <w:r w:rsidRPr="00486ED2">
        <w:rPr>
          <w:rFonts w:ascii="Calibri" w:eastAsia="Times New Roman" w:hAnsi="Calibri" w:cs="Times New Roman"/>
          <w:color w:val="3C3C3C"/>
          <w:sz w:val="24"/>
          <w:szCs w:val="24"/>
          <w:bdr w:val="none" w:sz="0" w:space="0" w:color="auto" w:frame="1"/>
        </w:rPr>
        <w:t> end-user</w:t>
      </w:r>
      <w:r w:rsidRPr="00486ED2">
        <w:rPr>
          <w:rFonts w:ascii="Calibri" w:eastAsia="Times New Roman" w:hAnsi="Calibri" w:cs="Times New Roman"/>
          <w:color w:val="000000"/>
          <w:sz w:val="24"/>
          <w:szCs w:val="24"/>
          <w:bdr w:val="none" w:sz="0" w:space="0" w:color="auto" w:frame="1"/>
        </w:rPr>
        <w:t>, the target market is segmented into reference laboratories, point-of-care testing/in-house testing, veterinary hospitals &amp; clinics, and others</w:t>
      </w:r>
    </w:p>
    <w:p w:rsidR="00486ED2" w:rsidRPr="00486ED2" w:rsidRDefault="00486ED2" w:rsidP="00486E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486ED2">
        <w:rPr>
          <w:rFonts w:ascii="Calibri" w:eastAsia="Times New Roman" w:hAnsi="Calibri" w:cs="Times New Roman"/>
          <w:color w:val="3C3C3C"/>
          <w:sz w:val="24"/>
          <w:szCs w:val="24"/>
          <w:bdr w:val="none" w:sz="0" w:space="0" w:color="auto" w:frame="1"/>
          <w:shd w:val="clear" w:color="auto" w:fill="FFFFFF"/>
        </w:rPr>
        <w:t>By region, </w:t>
      </w:r>
      <w:r w:rsidRPr="00486ED2">
        <w:rPr>
          <w:rFonts w:ascii="Calibri" w:eastAsia="Times New Roman" w:hAnsi="Calibri" w:cs="Times New Roman"/>
          <w:color w:val="3C3C3C"/>
          <w:sz w:val="24"/>
          <w:szCs w:val="24"/>
          <w:bdr w:val="none" w:sz="0" w:space="0" w:color="auto" w:frame="1"/>
        </w:rPr>
        <w:t>North America is expected to register largest revenue share in the he animal health market over the foreseeable future. This can be attributed due to increasing government’s initiatives to promote and improve animal health in the region.</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486ED2">
        <w:rPr>
          <w:rFonts w:ascii="Calibri" w:eastAsia="Times New Roman" w:hAnsi="Calibri" w:cs="Times New Roman"/>
          <w:b/>
          <w:bCs/>
          <w:i/>
          <w:iCs/>
          <w:color w:val="80819F"/>
          <w:sz w:val="24"/>
          <w:szCs w:val="24"/>
          <w:bdr w:val="none" w:sz="0" w:space="0" w:color="auto" w:frame="1"/>
          <w:shd w:val="clear" w:color="auto" w:fill="FFFFFF"/>
        </w:rPr>
        <w:t>:</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486ED2">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https://www.prophecymarketinsights.com/market_insight/Global-Animal-Health-Market-4228</w:t>
        </w:r>
      </w:hyperlink>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b/>
          <w:bCs/>
          <w:color w:val="3C3C3C"/>
          <w:sz w:val="24"/>
          <w:szCs w:val="24"/>
          <w:bdr w:val="none" w:sz="0" w:space="0" w:color="auto" w:frame="1"/>
          <w:shd w:val="clear" w:color="auto" w:fill="FFFFFF"/>
        </w:rPr>
        <w:t>Competitive Landscape:</w:t>
      </w:r>
    </w:p>
    <w:p w:rsidR="00486ED2" w:rsidRPr="00486ED2" w:rsidRDefault="00486ED2" w:rsidP="00486ED2">
      <w:pPr>
        <w:shd w:val="clear" w:color="auto" w:fill="FFFFFF"/>
        <w:spacing w:after="0" w:line="240" w:lineRule="auto"/>
        <w:jc w:val="both"/>
        <w:rPr>
          <w:rFonts w:ascii="Open Sans" w:eastAsia="Times New Roman" w:hAnsi="Open Sans" w:cs="Times New Roman"/>
          <w:color w:val="3C3C3C"/>
          <w:sz w:val="23"/>
          <w:szCs w:val="23"/>
        </w:rPr>
      </w:pPr>
      <w:r w:rsidRPr="00486ED2">
        <w:rPr>
          <w:rFonts w:ascii="Calibri" w:eastAsia="Times New Roman" w:hAnsi="Calibri" w:cs="Times New Roman"/>
          <w:color w:val="3C3C3C"/>
          <w:sz w:val="24"/>
          <w:szCs w:val="24"/>
          <w:bdr w:val="none" w:sz="0" w:space="0" w:color="auto" w:frame="1"/>
          <w:shd w:val="clear" w:color="auto" w:fill="FFFFFF"/>
        </w:rPr>
        <w:t>The prominent player operating in the global animal health market includes </w:t>
      </w:r>
      <w:r w:rsidRPr="00486ED2">
        <w:rPr>
          <w:rFonts w:ascii="Calibri" w:eastAsia="Times New Roman" w:hAnsi="Calibri" w:cs="Times New Roman"/>
          <w:color w:val="3C3C3C"/>
          <w:sz w:val="24"/>
          <w:szCs w:val="24"/>
          <w:bdr w:val="none" w:sz="0" w:space="0" w:color="auto" w:frame="1"/>
        </w:rPr>
        <w:t xml:space="preserve">Bayer AG, H. </w:t>
      </w:r>
      <w:proofErr w:type="spellStart"/>
      <w:r w:rsidRPr="00486ED2">
        <w:rPr>
          <w:rFonts w:ascii="Calibri" w:eastAsia="Times New Roman" w:hAnsi="Calibri" w:cs="Times New Roman"/>
          <w:color w:val="3C3C3C"/>
          <w:sz w:val="24"/>
          <w:szCs w:val="24"/>
          <w:bdr w:val="none" w:sz="0" w:space="0" w:color="auto" w:frame="1"/>
        </w:rPr>
        <w:t>Boehringer</w:t>
      </w:r>
      <w:proofErr w:type="spellEnd"/>
      <w:r w:rsidRPr="00486ED2">
        <w:rPr>
          <w:rFonts w:ascii="Calibri" w:eastAsia="Times New Roman" w:hAnsi="Calibri" w:cs="Times New Roman"/>
          <w:color w:val="3C3C3C"/>
          <w:sz w:val="24"/>
          <w:szCs w:val="24"/>
          <w:bdr w:val="none" w:sz="0" w:space="0" w:color="auto" w:frame="1"/>
        </w:rPr>
        <w:t xml:space="preserve"> </w:t>
      </w:r>
      <w:proofErr w:type="spellStart"/>
      <w:r w:rsidRPr="00486ED2">
        <w:rPr>
          <w:rFonts w:ascii="Calibri" w:eastAsia="Times New Roman" w:hAnsi="Calibri" w:cs="Times New Roman"/>
          <w:color w:val="3C3C3C"/>
          <w:sz w:val="24"/>
          <w:szCs w:val="24"/>
          <w:bdr w:val="none" w:sz="0" w:space="0" w:color="auto" w:frame="1"/>
        </w:rPr>
        <w:t>Sohn</w:t>
      </w:r>
      <w:proofErr w:type="spellEnd"/>
      <w:r w:rsidRPr="00486ED2">
        <w:rPr>
          <w:rFonts w:ascii="Calibri" w:eastAsia="Times New Roman" w:hAnsi="Calibri" w:cs="Times New Roman"/>
          <w:color w:val="3C3C3C"/>
          <w:sz w:val="24"/>
          <w:szCs w:val="24"/>
          <w:bdr w:val="none" w:sz="0" w:space="0" w:color="auto" w:frame="1"/>
        </w:rPr>
        <w:t xml:space="preserve"> AG &amp; Co. KG, </w:t>
      </w:r>
      <w:proofErr w:type="spellStart"/>
      <w:r w:rsidRPr="00486ED2">
        <w:rPr>
          <w:rFonts w:ascii="Calibri" w:eastAsia="Times New Roman" w:hAnsi="Calibri" w:cs="Times New Roman"/>
          <w:color w:val="3C3C3C"/>
          <w:sz w:val="24"/>
          <w:szCs w:val="24"/>
          <w:bdr w:val="none" w:sz="0" w:space="0" w:color="auto" w:frame="1"/>
        </w:rPr>
        <w:t>Dechra</w:t>
      </w:r>
      <w:proofErr w:type="spellEnd"/>
      <w:r w:rsidRPr="00486ED2">
        <w:rPr>
          <w:rFonts w:ascii="Calibri" w:eastAsia="Times New Roman" w:hAnsi="Calibri" w:cs="Times New Roman"/>
          <w:color w:val="3C3C3C"/>
          <w:sz w:val="24"/>
          <w:szCs w:val="24"/>
          <w:bdr w:val="none" w:sz="0" w:space="0" w:color="auto" w:frame="1"/>
        </w:rPr>
        <w:t xml:space="preserve"> Pharmaceuticals </w:t>
      </w:r>
      <w:proofErr w:type="spellStart"/>
      <w:r w:rsidRPr="00486ED2">
        <w:rPr>
          <w:rFonts w:ascii="Calibri" w:eastAsia="Times New Roman" w:hAnsi="Calibri" w:cs="Times New Roman"/>
          <w:color w:val="3C3C3C"/>
          <w:sz w:val="24"/>
          <w:szCs w:val="24"/>
          <w:bdr w:val="none" w:sz="0" w:space="0" w:color="auto" w:frame="1"/>
        </w:rPr>
        <w:t>Plc</w:t>
      </w:r>
      <w:proofErr w:type="spellEnd"/>
      <w:r w:rsidRPr="00486ED2">
        <w:rPr>
          <w:rFonts w:ascii="Calibri" w:eastAsia="Times New Roman" w:hAnsi="Calibri" w:cs="Times New Roman"/>
          <w:color w:val="3C3C3C"/>
          <w:sz w:val="24"/>
          <w:szCs w:val="24"/>
          <w:bdr w:val="none" w:sz="0" w:space="0" w:color="auto" w:frame="1"/>
        </w:rPr>
        <w:t xml:space="preserve">, </w:t>
      </w:r>
      <w:proofErr w:type="spellStart"/>
      <w:r w:rsidRPr="00486ED2">
        <w:rPr>
          <w:rFonts w:ascii="Calibri" w:eastAsia="Times New Roman" w:hAnsi="Calibri" w:cs="Times New Roman"/>
          <w:color w:val="3C3C3C"/>
          <w:sz w:val="24"/>
          <w:szCs w:val="24"/>
          <w:bdr w:val="none" w:sz="0" w:space="0" w:color="auto" w:frame="1"/>
        </w:rPr>
        <w:t>Cadila</w:t>
      </w:r>
      <w:proofErr w:type="spellEnd"/>
      <w:r w:rsidRPr="00486ED2">
        <w:rPr>
          <w:rFonts w:ascii="Calibri" w:eastAsia="Times New Roman" w:hAnsi="Calibri" w:cs="Times New Roman"/>
          <w:color w:val="3C3C3C"/>
          <w:sz w:val="24"/>
          <w:szCs w:val="24"/>
          <w:bdr w:val="none" w:sz="0" w:space="0" w:color="auto" w:frame="1"/>
        </w:rPr>
        <w:t xml:space="preserve"> Healthcare Ltd., </w:t>
      </w:r>
      <w:proofErr w:type="spellStart"/>
      <w:r w:rsidRPr="00486ED2">
        <w:rPr>
          <w:rFonts w:ascii="Calibri" w:eastAsia="Times New Roman" w:hAnsi="Calibri" w:cs="Times New Roman"/>
          <w:color w:val="3C3C3C"/>
          <w:sz w:val="24"/>
          <w:szCs w:val="24"/>
          <w:bdr w:val="none" w:sz="0" w:space="0" w:color="auto" w:frame="1"/>
        </w:rPr>
        <w:t>Elanco</w:t>
      </w:r>
      <w:proofErr w:type="spellEnd"/>
      <w:r w:rsidRPr="00486ED2">
        <w:rPr>
          <w:rFonts w:ascii="Calibri" w:eastAsia="Times New Roman" w:hAnsi="Calibri" w:cs="Times New Roman"/>
          <w:color w:val="3C3C3C"/>
          <w:sz w:val="24"/>
          <w:szCs w:val="24"/>
          <w:bdr w:val="none" w:sz="0" w:space="0" w:color="auto" w:frame="1"/>
        </w:rPr>
        <w:t xml:space="preserve"> Animal Health Inc., </w:t>
      </w:r>
      <w:proofErr w:type="spellStart"/>
      <w:r w:rsidRPr="00486ED2">
        <w:rPr>
          <w:rFonts w:ascii="Calibri" w:eastAsia="Times New Roman" w:hAnsi="Calibri" w:cs="Times New Roman"/>
          <w:color w:val="3C3C3C"/>
          <w:sz w:val="24"/>
          <w:szCs w:val="24"/>
          <w:bdr w:val="none" w:sz="0" w:space="0" w:color="auto" w:frame="1"/>
        </w:rPr>
        <w:t>Heska</w:t>
      </w:r>
      <w:proofErr w:type="spellEnd"/>
      <w:r w:rsidRPr="00486ED2">
        <w:rPr>
          <w:rFonts w:ascii="Calibri" w:eastAsia="Times New Roman" w:hAnsi="Calibri" w:cs="Times New Roman"/>
          <w:color w:val="3C3C3C"/>
          <w:sz w:val="24"/>
          <w:szCs w:val="24"/>
          <w:bdr w:val="none" w:sz="0" w:space="0" w:color="auto" w:frame="1"/>
        </w:rPr>
        <w:t xml:space="preserve"> Corp., </w:t>
      </w:r>
      <w:proofErr w:type="spellStart"/>
      <w:r w:rsidRPr="00486ED2">
        <w:rPr>
          <w:rFonts w:ascii="Calibri" w:eastAsia="Times New Roman" w:hAnsi="Calibri" w:cs="Times New Roman"/>
          <w:color w:val="3C3C3C"/>
          <w:sz w:val="24"/>
          <w:szCs w:val="24"/>
          <w:bdr w:val="none" w:sz="0" w:space="0" w:color="auto" w:frame="1"/>
        </w:rPr>
        <w:t>Norbrook</w:t>
      </w:r>
      <w:proofErr w:type="spellEnd"/>
      <w:r w:rsidRPr="00486ED2">
        <w:rPr>
          <w:rFonts w:ascii="Calibri" w:eastAsia="Times New Roman" w:hAnsi="Calibri" w:cs="Times New Roman"/>
          <w:color w:val="3C3C3C"/>
          <w:sz w:val="24"/>
          <w:szCs w:val="24"/>
          <w:bdr w:val="none" w:sz="0" w:space="0" w:color="auto" w:frame="1"/>
        </w:rPr>
        <w:t xml:space="preserve"> Laboratories Ltd., Merck &amp; Co. Inc., </w:t>
      </w:r>
      <w:proofErr w:type="spellStart"/>
      <w:r w:rsidRPr="00486ED2">
        <w:rPr>
          <w:rFonts w:ascii="Calibri" w:eastAsia="Times New Roman" w:hAnsi="Calibri" w:cs="Times New Roman"/>
          <w:color w:val="3C3C3C"/>
          <w:sz w:val="24"/>
          <w:szCs w:val="24"/>
          <w:bdr w:val="none" w:sz="0" w:space="0" w:color="auto" w:frame="1"/>
        </w:rPr>
        <w:t>Virbac</w:t>
      </w:r>
      <w:proofErr w:type="spellEnd"/>
      <w:r w:rsidRPr="00486ED2">
        <w:rPr>
          <w:rFonts w:ascii="Calibri" w:eastAsia="Times New Roman" w:hAnsi="Calibri" w:cs="Times New Roman"/>
          <w:color w:val="3C3C3C"/>
          <w:sz w:val="24"/>
          <w:szCs w:val="24"/>
          <w:bdr w:val="none" w:sz="0" w:space="0" w:color="auto" w:frame="1"/>
        </w:rPr>
        <w:t xml:space="preserve"> SA, and </w:t>
      </w:r>
      <w:proofErr w:type="spellStart"/>
      <w:r w:rsidRPr="00486ED2">
        <w:rPr>
          <w:rFonts w:ascii="Calibri" w:eastAsia="Times New Roman" w:hAnsi="Calibri" w:cs="Times New Roman"/>
          <w:color w:val="3C3C3C"/>
          <w:sz w:val="24"/>
          <w:szCs w:val="24"/>
          <w:bdr w:val="none" w:sz="0" w:space="0" w:color="auto" w:frame="1"/>
        </w:rPr>
        <w:t>Zoetis</w:t>
      </w:r>
      <w:proofErr w:type="spellEnd"/>
      <w:r w:rsidRPr="00486ED2">
        <w:rPr>
          <w:rFonts w:ascii="Calibri" w:eastAsia="Times New Roman" w:hAnsi="Calibri" w:cs="Times New Roman"/>
          <w:color w:val="3C3C3C"/>
          <w:sz w:val="24"/>
          <w:szCs w:val="24"/>
          <w:bdr w:val="none" w:sz="0" w:space="0" w:color="auto" w:frame="1"/>
        </w:rPr>
        <w:t xml:space="preserve"> </w:t>
      </w:r>
      <w:proofErr w:type="spellStart"/>
      <w:r w:rsidRPr="00486ED2">
        <w:rPr>
          <w:rFonts w:ascii="Calibri" w:eastAsia="Times New Roman" w:hAnsi="Calibri" w:cs="Times New Roman"/>
          <w:color w:val="3C3C3C"/>
          <w:sz w:val="24"/>
          <w:szCs w:val="24"/>
          <w:bdr w:val="none" w:sz="0" w:space="0" w:color="auto" w:frame="1"/>
        </w:rPr>
        <w:t>Inc</w:t>
      </w:r>
      <w:proofErr w:type="spellEnd"/>
    </w:p>
    <w:p w:rsidR="00042DA3" w:rsidRDefault="00042DA3"/>
    <w:sectPr w:rsidR="0004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4151C"/>
    <w:multiLevelType w:val="multilevel"/>
    <w:tmpl w:val="008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6D69D6"/>
    <w:multiLevelType w:val="multilevel"/>
    <w:tmpl w:val="0E3E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D2"/>
    <w:rsid w:val="00042DA3"/>
    <w:rsid w:val="0048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134ED-3487-4362-B286-E5872902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E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ED2"/>
    <w:rPr>
      <w:b/>
      <w:bCs/>
    </w:rPr>
  </w:style>
  <w:style w:type="character" w:styleId="Emphasis">
    <w:name w:val="Emphasis"/>
    <w:basedOn w:val="DefaultParagraphFont"/>
    <w:uiPriority w:val="20"/>
    <w:qFormat/>
    <w:rsid w:val="00486ED2"/>
    <w:rPr>
      <w:i/>
      <w:iCs/>
    </w:rPr>
  </w:style>
  <w:style w:type="character" w:styleId="Hyperlink">
    <w:name w:val="Hyperlink"/>
    <w:basedOn w:val="DefaultParagraphFont"/>
    <w:uiPriority w:val="99"/>
    <w:semiHidden/>
    <w:unhideWhenUsed/>
    <w:rsid w:val="00486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8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Animal-Health-Market-42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2022-09-16T07:01:00Z</dcterms:created>
  <dcterms:modified xsi:type="dcterms:W3CDTF">2022-09-16T07:02:00Z</dcterms:modified>
</cp:coreProperties>
</file>