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B61CAA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D0344">
        <w:rPr>
          <w:rFonts w:ascii="Arial" w:hAnsi="Arial" w:cs="Arial"/>
          <w:lang w:val="en"/>
        </w:rPr>
        <w:t>Neha Gandham</w:t>
      </w:r>
    </w:p>
    <w:p w14:paraId="677DC39A" w14:textId="02F7782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D0344">
        <w:rPr>
          <w:rFonts w:ascii="Arial" w:hAnsi="Arial" w:cs="Arial"/>
          <w:lang w:val="en"/>
        </w:rPr>
        <w:t>nehagandham6@gmail.com</w:t>
      </w:r>
    </w:p>
    <w:p w14:paraId="4D7EECF3" w14:textId="202F0ADD" w:rsidR="00234B39" w:rsidRPr="004D0344"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4D0344" w:rsidRPr="004D0344">
        <w:rPr>
          <w:rFonts w:ascii="Arial" w:hAnsi="Arial" w:cs="Arial"/>
        </w:rPr>
        <w:t>Medical Science</w:t>
      </w:r>
    </w:p>
    <w:p w14:paraId="19551121" w14:textId="0D7AA2CE"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4D0344" w:rsidRPr="004D0344">
        <w:rPr>
          <w:rFonts w:ascii="Arial" w:hAnsi="Arial" w:cs="Arial"/>
          <w:lang w:val="en"/>
        </w:rPr>
        <w:t>https://www.ncbi.nlm.nih.gov/pmc/articles/PMC8388013/</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85DD101"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1F31B6" w:rsidRPr="001F31B6">
        <w:rPr>
          <w:rFonts w:ascii="Arial" w:hAnsi="Arial" w:cs="Arial"/>
        </w:rPr>
        <w:t>Summarize the 2020 ACC/AHA Clinical Performance and Quality Measures for Adults with Heart Failure. Highlight the main objectives, key take-home messages, and any significant updates or changes from previous guidelines</w:t>
      </w:r>
      <w:r w:rsidR="001F31B6">
        <w:rPr>
          <w:rFonts w:ascii="Arial" w:hAnsi="Arial" w:cs="Arial"/>
        </w:rPr>
        <w:t>.</w:t>
      </w:r>
    </w:p>
    <w:p w14:paraId="2A52CA37" w14:textId="5782EF0E" w:rsidR="00234B39" w:rsidRDefault="00000000">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p>
    <w:p w14:paraId="622D59B2" w14:textId="77777777" w:rsidR="00C8762A" w:rsidRDefault="00C8762A" w:rsidP="00C8762A">
      <w:pPr>
        <w:divId w:val="465317432"/>
      </w:pPr>
      <w:r w:rsidRPr="00C8762A">
        <w:t>The 2020 ACC/AHA Clinical Performance and Quality Measures for Adults with Heart Failure focus on updating and refining previous guidelines to enhance the quality of care and patient outcomes. Key objectives include:</w:t>
      </w:r>
    </w:p>
    <w:p w14:paraId="060F11EE" w14:textId="77777777" w:rsidR="00C8762A" w:rsidRPr="00C8762A" w:rsidRDefault="00C8762A" w:rsidP="00C8762A">
      <w:pPr>
        <w:divId w:val="465317432"/>
      </w:pPr>
    </w:p>
    <w:p w14:paraId="00D6F942" w14:textId="77777777" w:rsidR="00C8762A" w:rsidRDefault="00C8762A" w:rsidP="00C8762A">
      <w:pPr>
        <w:divId w:val="465317432"/>
      </w:pPr>
      <w:r w:rsidRPr="00C8762A">
        <w:rPr>
          <w:b/>
          <w:bCs/>
        </w:rPr>
        <w:t>Improvement in Care Quality</w:t>
      </w:r>
      <w:r w:rsidRPr="00C8762A">
        <w:t>: The guidelines are designed to accelerate the adoption of best practices in managing heart failure, with measures aligned with the strongest recommendations from the 2017 ACC/AHA/HFSA heart failure guideline update.</w:t>
      </w:r>
    </w:p>
    <w:p w14:paraId="39438D6D" w14:textId="77777777" w:rsidR="00C8762A" w:rsidRPr="00C8762A" w:rsidRDefault="00C8762A" w:rsidP="00C8762A">
      <w:pPr>
        <w:divId w:val="465317432"/>
      </w:pPr>
    </w:p>
    <w:p w14:paraId="1CAF470D" w14:textId="257494BF" w:rsidR="00C8762A" w:rsidRDefault="00C8762A" w:rsidP="00C8762A">
      <w:pPr>
        <w:divId w:val="465317432"/>
      </w:pPr>
      <w:r w:rsidRPr="00C8762A">
        <w:rPr>
          <w:b/>
          <w:bCs/>
        </w:rPr>
        <w:t>New and Updated Measures</w:t>
      </w:r>
      <w:r w:rsidRPr="00C8762A">
        <w:t>: Significant updates include the introduction of new safety measures, such as laboratory monitoring for patients treated with mineralocorticoid receptor antagonists, and new treatment measures for medications like sacubitril/valsartan. Measures now also include considerations for medication dose titration and patient-</w:t>
      </w:r>
      <w:proofErr w:type="spellStart"/>
      <w:r w:rsidRPr="00C8762A">
        <w:t>centered</w:t>
      </w:r>
      <w:proofErr w:type="spellEnd"/>
      <w:r w:rsidRPr="00C8762A">
        <w:t xml:space="preserve"> care, particularly for implantable cardioverter-defibrillator treatment.</w:t>
      </w:r>
    </w:p>
    <w:p w14:paraId="44C0349D" w14:textId="77777777" w:rsidR="00C8762A" w:rsidRPr="00C8762A" w:rsidRDefault="00C8762A" w:rsidP="00C8762A">
      <w:pPr>
        <w:divId w:val="465317432"/>
      </w:pPr>
    </w:p>
    <w:p w14:paraId="6F78D10C" w14:textId="77777777" w:rsidR="00C8762A" w:rsidRPr="00C8762A" w:rsidRDefault="00C8762A" w:rsidP="00C8762A">
      <w:pPr>
        <w:divId w:val="465317432"/>
      </w:pPr>
      <w:r w:rsidRPr="00C8762A">
        <w:rPr>
          <w:b/>
          <w:bCs/>
        </w:rPr>
        <w:t>Emphasis on Patient-Reported Outcomes</w:t>
      </w:r>
      <w:r w:rsidRPr="00C8762A">
        <w:t>: The guidelines underscore the importance of patient-reported outcomes, adding two new measures that use FDA-accepted heart failure questionnaires.</w:t>
      </w:r>
    </w:p>
    <w:p w14:paraId="08F8B585" w14:textId="77777777" w:rsidR="00C8762A" w:rsidRPr="00C8762A" w:rsidRDefault="00C8762A" w:rsidP="00C8762A">
      <w:pPr>
        <w:pStyle w:val="NormalWeb"/>
        <w:divId w:val="465317432"/>
        <w:rPr>
          <w:rFonts w:ascii="Arial" w:hAnsi="Arial" w:cs="Arial"/>
        </w:rPr>
      </w:pPr>
      <w:r w:rsidRPr="00C8762A">
        <w:rPr>
          <w:rFonts w:ascii="Arial" w:hAnsi="Arial" w:cs="Arial"/>
        </w:rPr>
        <w:t>These updates reflect a continuous effort to integrate the latest clinical evidence into performance measures, aiming to improve both clinical practice and patient outcomes​</w:t>
      </w:r>
    </w:p>
    <w:p w14:paraId="1994EAB6" w14:textId="77777777" w:rsidR="00C8762A" w:rsidRDefault="00C8762A">
      <w:pPr>
        <w:pStyle w:val="NormalWeb"/>
        <w:divId w:val="465317432"/>
        <w:rPr>
          <w:rFonts w:ascii="Arial" w:hAnsi="Arial" w:cs="Arial"/>
          <w:lang w:val="en"/>
        </w:rPr>
      </w:pPr>
    </w:p>
    <w:p w14:paraId="38AD1979" w14:textId="77777777" w:rsidR="00C8762A" w:rsidRDefault="00C8762A">
      <w:pPr>
        <w:pStyle w:val="NormalWeb"/>
        <w:divId w:val="465317432"/>
        <w:rPr>
          <w:rFonts w:ascii="Arial" w:hAnsi="Arial" w:cs="Arial"/>
          <w:lang w:val="en"/>
        </w:rPr>
      </w:pPr>
    </w:p>
    <w:p w14:paraId="45247207" w14:textId="77777777" w:rsidR="00234B39" w:rsidRPr="00C8762A" w:rsidRDefault="00000000">
      <w:pPr>
        <w:pStyle w:val="Heading3"/>
        <w:divId w:val="465317432"/>
        <w:rPr>
          <w:rFonts w:ascii="Arial" w:eastAsia="Times New Roman" w:hAnsi="Arial" w:cs="Arial"/>
          <w:lang w:val="en"/>
        </w:rPr>
      </w:pPr>
      <w:r w:rsidRPr="00C8762A">
        <w:rPr>
          <w:rFonts w:ascii="Arial" w:eastAsia="Times New Roman" w:hAnsi="Arial" w:cs="Arial"/>
          <w:lang w:val="en"/>
        </w:rPr>
        <w:lastRenderedPageBreak/>
        <w:t>Iteration 1</w:t>
      </w:r>
    </w:p>
    <w:p w14:paraId="22374C6A" w14:textId="28540F4B"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C8762A" w:rsidRPr="00C8762A">
        <w:rPr>
          <w:rFonts w:ascii="Arial" w:hAnsi="Arial" w:cs="Arial"/>
        </w:rPr>
        <w:t>Provide a concise summary of the 2020 ACC/AHA Heart Failure Measures. Highlight the updated performance measures, the rationale for new safety and treatment measures, and the implications for healthcare providers and patients</w:t>
      </w:r>
    </w:p>
    <w:p w14:paraId="098CC3A1" w14:textId="77777777" w:rsidR="00433A80" w:rsidRDefault="00000000" w:rsidP="00433A8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p>
    <w:p w14:paraId="2BE21D31" w14:textId="11C62AF7" w:rsidR="00433A80" w:rsidRPr="00433A80" w:rsidRDefault="00433A80" w:rsidP="00433A80">
      <w:pPr>
        <w:divId w:val="465317432"/>
        <w:rPr>
          <w:b/>
          <w:bCs/>
        </w:rPr>
      </w:pPr>
      <w:r w:rsidRPr="00433A80">
        <w:rPr>
          <w:b/>
          <w:bCs/>
        </w:rPr>
        <w:t>Accessibility Issues (Severity Rating = 1.25):</w:t>
      </w:r>
    </w:p>
    <w:p w14:paraId="6E4D130D" w14:textId="77777777" w:rsidR="00433A80" w:rsidRDefault="00433A80" w:rsidP="00433A80">
      <w:pPr>
        <w:divId w:val="465317432"/>
      </w:pPr>
      <w:r w:rsidRPr="00433A80">
        <w:t xml:space="preserve">Description: This indicates issues that hinder users from accessing or navigating the software effectively. Accessibility problems may include difficulties for users with disabilities, such as lack of screen reader support, poor </w:t>
      </w:r>
      <w:proofErr w:type="spellStart"/>
      <w:r w:rsidRPr="00433A80">
        <w:t>color</w:t>
      </w:r>
      <w:proofErr w:type="spellEnd"/>
      <w:r w:rsidRPr="00433A80">
        <w:t xml:space="preserve"> contrast, or inaccessible forms.</w:t>
      </w:r>
    </w:p>
    <w:p w14:paraId="3FCDFF7A" w14:textId="7A6B08B7" w:rsidR="00433A80" w:rsidRPr="00433A80" w:rsidRDefault="00433A80" w:rsidP="00433A80">
      <w:pPr>
        <w:divId w:val="465317432"/>
        <w:rPr>
          <w:b/>
          <w:bCs/>
        </w:rPr>
      </w:pPr>
      <w:r w:rsidRPr="00433A80">
        <w:rPr>
          <w:b/>
          <w:bCs/>
        </w:rPr>
        <w:t>Functional Issues (Severity Rating = 2.63):</w:t>
      </w:r>
    </w:p>
    <w:p w14:paraId="5CCEB4AC" w14:textId="77777777" w:rsidR="00433A80" w:rsidRPr="00433A80" w:rsidRDefault="00433A80" w:rsidP="00433A80">
      <w:pPr>
        <w:divId w:val="465317432"/>
      </w:pPr>
      <w:r w:rsidRPr="00433A80">
        <w:t>Description: These refer to problems where the software doesn't perform as expected in terms of its functionality. This could include bugs, errors, or missing features that affect the software's core operations.</w:t>
      </w:r>
    </w:p>
    <w:p w14:paraId="00F62406" w14:textId="77777777" w:rsidR="00433A80" w:rsidRPr="00433A80" w:rsidRDefault="00433A80" w:rsidP="00433A80">
      <w:pPr>
        <w:divId w:val="465317432"/>
      </w:pPr>
      <w:r w:rsidRPr="00433A80">
        <w:t>Severity: A moderate severity rating of 2.63 suggests that these issues are significant and could impact the user experience or workflow, but they are not critical failures. Addressing these issues is important for maintaining smooth functionality.</w:t>
      </w:r>
    </w:p>
    <w:p w14:paraId="7DD09F1E" w14:textId="773A3D27" w:rsidR="00433A80" w:rsidRPr="00433A80" w:rsidRDefault="00433A80" w:rsidP="00433A80">
      <w:pPr>
        <w:divId w:val="465317432"/>
        <w:rPr>
          <w:b/>
          <w:bCs/>
        </w:rPr>
      </w:pPr>
      <w:r w:rsidRPr="00433A80">
        <w:rPr>
          <w:b/>
          <w:bCs/>
        </w:rPr>
        <w:t>Privacy Issues (Severity Rating = 4.88):</w:t>
      </w:r>
    </w:p>
    <w:p w14:paraId="477530CB" w14:textId="77777777" w:rsidR="00433A80" w:rsidRPr="00433A80" w:rsidRDefault="00433A80" w:rsidP="00433A80">
      <w:pPr>
        <w:divId w:val="465317432"/>
      </w:pPr>
      <w:r w:rsidRPr="00433A80">
        <w:t>Description: Privacy issues involve concerns where users' personal data might be at risk. This could include data breaches, insufficient data protection measures, or unclear privacy policies.</w:t>
      </w:r>
    </w:p>
    <w:p w14:paraId="3E7B3821" w14:textId="37A8D0D6" w:rsidR="00234B39" w:rsidRDefault="00433A80" w:rsidP="00433A80">
      <w:pPr>
        <w:divId w:val="465317432"/>
      </w:pPr>
      <w:r w:rsidRPr="00433A80">
        <w:t>Severity: With the highest severity rating of 4.88, these issues are critical and must be addressed urgently. Privacy issues can lead to significant legal, ethical, and user trust problems, making them a top priority for resolution.</w:t>
      </w:r>
    </w:p>
    <w:p w14:paraId="284CCD81" w14:textId="77777777" w:rsidR="00433A80" w:rsidRPr="00433A80" w:rsidRDefault="00433A80" w:rsidP="00433A80">
      <w:pPr>
        <w:divId w:val="465317432"/>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062A43B"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433A80" w:rsidRPr="00433A80">
        <w:rPr>
          <w:rFonts w:ascii="Arial" w:hAnsi="Arial" w:cs="Arial"/>
        </w:rPr>
        <w:t>Create a brief summary of the 2020 ACC/AHA Heart Failure Measures. Emphasize differences from the 2011 set, including new inclusions, exclusions, and the anticipated impact on patient care.</w:t>
      </w:r>
    </w:p>
    <w:p w14:paraId="5EC7C626" w14:textId="0E2A62FA" w:rsidR="00234B39" w:rsidRDefault="00000000" w:rsidP="00433A80">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p>
    <w:p w14:paraId="7960A310" w14:textId="77777777" w:rsidR="004114A5" w:rsidRPr="004114A5" w:rsidRDefault="004114A5" w:rsidP="004114A5">
      <w:pPr>
        <w:pStyle w:val="NormalWeb"/>
        <w:divId w:val="465317432"/>
        <w:rPr>
          <w:rFonts w:ascii="Arial" w:hAnsi="Arial" w:cs="Arial"/>
        </w:rPr>
      </w:pPr>
      <w:r w:rsidRPr="004114A5">
        <w:rPr>
          <w:rFonts w:ascii="Arial" w:hAnsi="Arial" w:cs="Arial"/>
        </w:rPr>
        <w:t>The 2020 ACC/AHA Clinical Performance and Quality Measures for Adults with Heart Failure introduced several updates compared to the 2011 measures. The new set includes 18 measures, comprising 13 performance measures, 4 quality measures, 1 structural measure, and 2 cardiac rehabilitation measures. Key additions include new medication treatments such as sacubitril/valsartan, and new performance measures for titration of heart failure medications and laboratory monitoring for patients on mineralocorticoid receptor antagonists. Exclusions now include patients declining treatment or when clinicians determine care is inappropriate. The emphasis on patient-</w:t>
      </w:r>
      <w:proofErr w:type="spellStart"/>
      <w:r w:rsidRPr="004114A5">
        <w:rPr>
          <w:rFonts w:ascii="Arial" w:hAnsi="Arial" w:cs="Arial"/>
        </w:rPr>
        <w:t>centered</w:t>
      </w:r>
      <w:proofErr w:type="spellEnd"/>
      <w:r w:rsidRPr="004114A5">
        <w:rPr>
          <w:rFonts w:ascii="Arial" w:hAnsi="Arial" w:cs="Arial"/>
        </w:rPr>
        <w:t xml:space="preserve"> care is strengthened with the inclusion of patient-reported outcomes. These updates aim to improve the timeliness, safety, and effectiveness of heart failure care, thereby enhancing patient outcomes.</w:t>
      </w:r>
    </w:p>
    <w:p w14:paraId="0B5C97C6" w14:textId="77777777" w:rsidR="004114A5" w:rsidRPr="004114A5" w:rsidRDefault="004114A5" w:rsidP="004114A5">
      <w:pPr>
        <w:pStyle w:val="NormalWeb"/>
        <w:divId w:val="465317432"/>
        <w:rPr>
          <w:rFonts w:ascii="Arial" w:hAnsi="Arial" w:cs="Arial"/>
        </w:rPr>
      </w:pPr>
      <w:r w:rsidRPr="004114A5">
        <w:rPr>
          <w:rFonts w:ascii="Arial" w:hAnsi="Arial" w:cs="Arial"/>
        </w:rPr>
        <w:lastRenderedPageBreak/>
        <w:t>The 2020 measures reflect advancements in heart failure treatment, addressing gaps in care and optimizing therapy management, potentially leading to better quality of care and improved patient outcomes​</w:t>
      </w:r>
    </w:p>
    <w:p w14:paraId="30821A85" w14:textId="77777777" w:rsidR="004114A5" w:rsidRDefault="004114A5" w:rsidP="00433A80">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085E16E"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p>
    <w:p w14:paraId="1EBC67BA" w14:textId="77777777" w:rsidR="004114A5" w:rsidRDefault="00000000" w:rsidP="004114A5">
      <w:pPr>
        <w:divId w:val="465317432"/>
        <w:rPr>
          <w:lang w:val="en"/>
        </w:rPr>
      </w:pPr>
      <w:r>
        <w:rPr>
          <w:rStyle w:val="Strong"/>
          <w:rFonts w:ascii="Arial" w:hAnsi="Arial" w:cs="Arial"/>
          <w:lang w:val="en"/>
        </w:rPr>
        <w:t xml:space="preserve">Generated Summary </w:t>
      </w:r>
      <w:r>
        <w:rPr>
          <w:lang w:val="en"/>
        </w:rPr>
        <w:t>:</w:t>
      </w:r>
    </w:p>
    <w:p w14:paraId="4A625702" w14:textId="119BA3C7" w:rsidR="004114A5" w:rsidRPr="004114A5" w:rsidRDefault="004114A5" w:rsidP="004114A5">
      <w:pPr>
        <w:divId w:val="465317432"/>
        <w:rPr>
          <w:b/>
          <w:bCs/>
          <w:lang w:val="en"/>
        </w:rPr>
      </w:pPr>
      <w:r w:rsidRPr="004114A5">
        <w:t xml:space="preserve"> </w:t>
      </w:r>
      <w:r w:rsidRPr="004114A5">
        <w:rPr>
          <w:b/>
          <w:bCs/>
        </w:rPr>
        <w:t>Introduction of New Measures:</w:t>
      </w:r>
    </w:p>
    <w:p w14:paraId="39B0C5B0" w14:textId="77777777" w:rsidR="004114A5" w:rsidRPr="004114A5" w:rsidRDefault="004114A5" w:rsidP="004114A5">
      <w:pPr>
        <w:divId w:val="465317432"/>
      </w:pPr>
      <w:r w:rsidRPr="004114A5">
        <w:t xml:space="preserve">Safety Measure: A new safety measure was introduced focusing on laboratory monitoring for patients treated with mineralocorticoid receptor antagonists (MRAs). This is crucial given the potential risks associated with these medications, such as </w:t>
      </w:r>
      <w:proofErr w:type="spellStart"/>
      <w:r w:rsidRPr="004114A5">
        <w:t>hyperkalemia</w:t>
      </w:r>
      <w:proofErr w:type="spellEnd"/>
      <w:r w:rsidRPr="004114A5">
        <w:t>.</w:t>
      </w:r>
    </w:p>
    <w:p w14:paraId="4D9CC23C" w14:textId="77777777" w:rsidR="004114A5" w:rsidRPr="004114A5" w:rsidRDefault="004114A5" w:rsidP="004114A5">
      <w:pPr>
        <w:divId w:val="465317432"/>
      </w:pPr>
      <w:r w:rsidRPr="004114A5">
        <w:t>Treatment Measure: A corresponding treatment measure was added for the use of MRAs in patients with heart failure with reduced ejection fraction (</w:t>
      </w:r>
      <w:proofErr w:type="spellStart"/>
      <w:r w:rsidRPr="004114A5">
        <w:t>HFrEF</w:t>
      </w:r>
      <w:proofErr w:type="spellEnd"/>
      <w:r w:rsidRPr="004114A5">
        <w:t>).</w:t>
      </w:r>
    </w:p>
    <w:p w14:paraId="11D454B6" w14:textId="066F393D" w:rsidR="004114A5" w:rsidRPr="004114A5" w:rsidRDefault="004114A5" w:rsidP="004114A5">
      <w:pPr>
        <w:divId w:val="465317432"/>
        <w:rPr>
          <w:b/>
          <w:bCs/>
        </w:rPr>
      </w:pPr>
      <w:r w:rsidRPr="004114A5">
        <w:rPr>
          <w:b/>
          <w:bCs/>
        </w:rPr>
        <w:t>Inclusion of New Therapies:</w:t>
      </w:r>
    </w:p>
    <w:p w14:paraId="19C28696" w14:textId="77777777" w:rsidR="004114A5" w:rsidRPr="004114A5" w:rsidRDefault="004114A5" w:rsidP="004114A5">
      <w:pPr>
        <w:divId w:val="465317432"/>
      </w:pPr>
      <w:r w:rsidRPr="004114A5">
        <w:t xml:space="preserve">The updated measure set now includes the use of sacubitril/valsartan, a novel angiotensin receptor-neprilysin inhibitor (ARNI), which has been shown to significantly reduce morbidity and mortality in patients with </w:t>
      </w:r>
      <w:proofErr w:type="spellStart"/>
      <w:r w:rsidRPr="004114A5">
        <w:t>HFrEF</w:t>
      </w:r>
      <w:proofErr w:type="spellEnd"/>
      <w:r w:rsidRPr="004114A5">
        <w:t>.</w:t>
      </w:r>
    </w:p>
    <w:p w14:paraId="56B1F25F" w14:textId="77777777" w:rsidR="004114A5" w:rsidRPr="004114A5" w:rsidRDefault="004114A5" w:rsidP="004114A5">
      <w:pPr>
        <w:divId w:val="465317432"/>
      </w:pPr>
      <w:r w:rsidRPr="004114A5">
        <w:t>The measure set also incorporates the use of cardiac resynchronization therapy (CRT), which is critical for certain heart failure patients.</w:t>
      </w:r>
    </w:p>
    <w:p w14:paraId="03AC041A" w14:textId="3C291250" w:rsidR="004114A5" w:rsidRPr="004114A5" w:rsidRDefault="004114A5" w:rsidP="004114A5">
      <w:pPr>
        <w:divId w:val="465317432"/>
      </w:pPr>
      <w:r w:rsidRPr="004114A5">
        <w:t>Focus on Medication Titration:</w:t>
      </w:r>
    </w:p>
    <w:p w14:paraId="792607E6" w14:textId="77777777" w:rsidR="004114A5" w:rsidRPr="004114A5" w:rsidRDefault="004114A5" w:rsidP="004114A5">
      <w:pPr>
        <w:divId w:val="465317432"/>
      </w:pPr>
      <w:r w:rsidRPr="004114A5">
        <w:t>To address the frequent under-titration of heart failure medications, two new performance measures were introduced. These measures focus on whether patients achieve at least 50% of the recommended doses of key medications (e.g., beta-blockers, ACE inhibitors, ARBs, ARNIs) or document why higher doses are not tolerated.</w:t>
      </w:r>
    </w:p>
    <w:p w14:paraId="4309F412" w14:textId="7D1EE3F8" w:rsidR="004114A5" w:rsidRPr="004114A5" w:rsidRDefault="004114A5" w:rsidP="004114A5">
      <w:pPr>
        <w:divId w:val="465317432"/>
        <w:rPr>
          <w:b/>
          <w:bCs/>
        </w:rPr>
      </w:pPr>
      <w:r w:rsidRPr="004114A5">
        <w:rPr>
          <w:b/>
          <w:bCs/>
        </w:rPr>
        <w:t>Exclusions and Patient-</w:t>
      </w:r>
      <w:proofErr w:type="spellStart"/>
      <w:r w:rsidRPr="004114A5">
        <w:rPr>
          <w:b/>
          <w:bCs/>
        </w:rPr>
        <w:t>Centered</w:t>
      </w:r>
      <w:proofErr w:type="spellEnd"/>
      <w:r w:rsidRPr="004114A5">
        <w:rPr>
          <w:b/>
          <w:bCs/>
        </w:rPr>
        <w:t xml:space="preserve"> Care:</w:t>
      </w:r>
    </w:p>
    <w:p w14:paraId="6FE53792" w14:textId="77777777" w:rsidR="004114A5" w:rsidRPr="004114A5" w:rsidRDefault="004114A5" w:rsidP="004114A5">
      <w:pPr>
        <w:divId w:val="465317432"/>
      </w:pPr>
      <w:r w:rsidRPr="004114A5">
        <w:t>The measure set provides exclusions for patients where specific treatments are deemed inappropriate, emphasizing clinical judgment.</w:t>
      </w:r>
    </w:p>
    <w:p w14:paraId="4791BE7F" w14:textId="77777777" w:rsidR="004114A5" w:rsidRPr="004114A5" w:rsidRDefault="004114A5" w:rsidP="004114A5">
      <w:pPr>
        <w:divId w:val="465317432"/>
      </w:pPr>
      <w:r w:rsidRPr="004114A5">
        <w:t>Exclusions are also noted for patients who decline treatment, aligning with a more patient-</w:t>
      </w:r>
      <w:proofErr w:type="spellStart"/>
      <w:r w:rsidRPr="004114A5">
        <w:t>centered</w:t>
      </w:r>
      <w:proofErr w:type="spellEnd"/>
      <w:r w:rsidRPr="004114A5">
        <w:t xml:space="preserve"> approach.</w:t>
      </w:r>
    </w:p>
    <w:p w14:paraId="13093686" w14:textId="3D45DBB0" w:rsidR="00234B39" w:rsidRDefault="00234B39" w:rsidP="004114A5">
      <w:pPr>
        <w:divId w:val="465317432"/>
        <w:rPr>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4D149FE" w:rsidR="00234B39" w:rsidRDefault="00000000">
      <w:pPr>
        <w:pStyle w:val="NormalWeb"/>
        <w:divId w:val="465317432"/>
        <w:rPr>
          <w:rFonts w:ascii="Arial" w:hAnsi="Arial" w:cs="Arial"/>
          <w:lang w:val="en"/>
        </w:rPr>
      </w:pPr>
      <w:r>
        <w:rPr>
          <w:rStyle w:val="Strong"/>
          <w:rFonts w:ascii="Arial" w:hAnsi="Arial" w:cs="Arial"/>
          <w:lang w:val="en"/>
        </w:rPr>
        <w:t xml:space="preserve">Key Insights </w:t>
      </w:r>
      <w:r>
        <w:rPr>
          <w:rFonts w:ascii="Arial" w:hAnsi="Arial" w:cs="Arial"/>
          <w:lang w:val="en"/>
        </w:rPr>
        <w:t xml:space="preserve">: </w:t>
      </w:r>
    </w:p>
    <w:p w14:paraId="2E230FDD" w14:textId="77777777" w:rsidR="004114A5" w:rsidRPr="004114A5" w:rsidRDefault="004114A5" w:rsidP="004114A5">
      <w:pPr>
        <w:pStyle w:val="NormalWeb"/>
        <w:divId w:val="465317432"/>
        <w:rPr>
          <w:rFonts w:ascii="Arial" w:hAnsi="Arial" w:cs="Arial"/>
        </w:rPr>
      </w:pPr>
      <w:r w:rsidRPr="004114A5">
        <w:rPr>
          <w:rFonts w:ascii="Arial" w:hAnsi="Arial" w:cs="Arial"/>
        </w:rPr>
        <w:t>The research paper focuses on the 2020 updates to the ACC/AHA Clinical Performance and Quality Measures for Adults with Heart Failure, offering key insights into how these revisions are designed to enhance patient care and outcomes. The critical insights extracted from the paper include:</w:t>
      </w:r>
    </w:p>
    <w:p w14:paraId="12246BCD" w14:textId="77777777" w:rsidR="004114A5" w:rsidRPr="004114A5" w:rsidRDefault="004114A5" w:rsidP="004114A5">
      <w:pPr>
        <w:divId w:val="465317432"/>
        <w:rPr>
          <w:b/>
          <w:bCs/>
        </w:rPr>
      </w:pPr>
      <w:r w:rsidRPr="004114A5">
        <w:rPr>
          <w:b/>
          <w:bCs/>
        </w:rPr>
        <w:t>Introduction of Safety Measures:</w:t>
      </w:r>
    </w:p>
    <w:p w14:paraId="1A485B23" w14:textId="77777777" w:rsidR="004114A5" w:rsidRDefault="004114A5" w:rsidP="004114A5">
      <w:pPr>
        <w:divId w:val="465317432"/>
      </w:pPr>
      <w:r w:rsidRPr="004114A5">
        <w:t xml:space="preserve">The paper emphasizes the introduction of new safety measures, particularly the importance of laboratory monitoring for patients on mineralocorticoid receptor antagonists (MRAs). This reflects a growing awareness of the risks associated with </w:t>
      </w:r>
      <w:r w:rsidRPr="004114A5">
        <w:lastRenderedPageBreak/>
        <w:t xml:space="preserve">MRAs, such as </w:t>
      </w:r>
      <w:proofErr w:type="spellStart"/>
      <w:r w:rsidRPr="004114A5">
        <w:t>hyperkalemia</w:t>
      </w:r>
      <w:proofErr w:type="spellEnd"/>
      <w:r w:rsidRPr="004114A5">
        <w:t>, and the need for vigilant monitoring to mitigate these risks.</w:t>
      </w:r>
    </w:p>
    <w:p w14:paraId="29103E79" w14:textId="77777777" w:rsidR="004114A5" w:rsidRPr="004114A5" w:rsidRDefault="004114A5" w:rsidP="004114A5">
      <w:pPr>
        <w:divId w:val="465317432"/>
      </w:pPr>
    </w:p>
    <w:p w14:paraId="64DD0203" w14:textId="77777777" w:rsidR="004114A5" w:rsidRPr="004114A5" w:rsidRDefault="004114A5" w:rsidP="004114A5">
      <w:pPr>
        <w:divId w:val="465317432"/>
        <w:rPr>
          <w:b/>
          <w:bCs/>
        </w:rPr>
      </w:pPr>
      <w:r w:rsidRPr="004114A5">
        <w:rPr>
          <w:b/>
          <w:bCs/>
        </w:rPr>
        <w:t>Inclusion of New Therapies:</w:t>
      </w:r>
    </w:p>
    <w:p w14:paraId="0DA3250E" w14:textId="77777777" w:rsidR="004114A5" w:rsidRDefault="004114A5" w:rsidP="004114A5">
      <w:pPr>
        <w:divId w:val="465317432"/>
      </w:pPr>
      <w:r w:rsidRPr="004114A5">
        <w:t>The incorporation of sacubitril/valsartan and cardiac resynchronization therapy (CRT) into the clinical measures indicates a recognition of the significant benefits these treatments offer to patients with heart failure. These additions are based on recent clinical evidence supporting their effectiveness in reducing morbidity and mortality in specific patient populations.</w:t>
      </w:r>
    </w:p>
    <w:p w14:paraId="0A60B5DD" w14:textId="77777777" w:rsidR="004114A5" w:rsidRPr="004114A5" w:rsidRDefault="004114A5" w:rsidP="004114A5">
      <w:pPr>
        <w:divId w:val="465317432"/>
      </w:pPr>
    </w:p>
    <w:p w14:paraId="46D13625" w14:textId="77777777" w:rsidR="004114A5" w:rsidRPr="004114A5" w:rsidRDefault="004114A5" w:rsidP="004114A5">
      <w:pPr>
        <w:divId w:val="465317432"/>
        <w:rPr>
          <w:b/>
          <w:bCs/>
        </w:rPr>
      </w:pPr>
      <w:r w:rsidRPr="004114A5">
        <w:rPr>
          <w:b/>
          <w:bCs/>
        </w:rPr>
        <w:t>Focus on Medication Titration:</w:t>
      </w:r>
    </w:p>
    <w:p w14:paraId="6316FBC9" w14:textId="77777777" w:rsidR="004114A5" w:rsidRDefault="004114A5" w:rsidP="004114A5">
      <w:pPr>
        <w:divId w:val="465317432"/>
      </w:pPr>
      <w:r w:rsidRPr="004114A5">
        <w:t>The paper highlights the introduction of measures related to the titration of heart failure medications. This focus addresses the common issue of under-titration in clinical practice, ensuring that patients receive optimal doses or that reasons for lower dosing are well-documented.</w:t>
      </w:r>
    </w:p>
    <w:p w14:paraId="6143F367" w14:textId="77777777" w:rsidR="004114A5" w:rsidRPr="004114A5" w:rsidRDefault="004114A5" w:rsidP="004114A5">
      <w:pPr>
        <w:divId w:val="465317432"/>
      </w:pPr>
    </w:p>
    <w:p w14:paraId="03C63FC4" w14:textId="77777777" w:rsidR="004114A5" w:rsidRPr="004114A5" w:rsidRDefault="004114A5" w:rsidP="004114A5">
      <w:pPr>
        <w:divId w:val="465317432"/>
        <w:rPr>
          <w:b/>
          <w:bCs/>
        </w:rPr>
      </w:pPr>
      <w:r w:rsidRPr="004114A5">
        <w:rPr>
          <w:b/>
          <w:bCs/>
        </w:rPr>
        <w:t>Patient-</w:t>
      </w:r>
      <w:proofErr w:type="spellStart"/>
      <w:r w:rsidRPr="004114A5">
        <w:rPr>
          <w:b/>
          <w:bCs/>
        </w:rPr>
        <w:t>Centered</w:t>
      </w:r>
      <w:proofErr w:type="spellEnd"/>
      <w:r w:rsidRPr="004114A5">
        <w:rPr>
          <w:b/>
          <w:bCs/>
        </w:rPr>
        <w:t xml:space="preserve"> Care and Exclusions:</w:t>
      </w:r>
    </w:p>
    <w:p w14:paraId="7D1EE1BB" w14:textId="547BF81D" w:rsidR="004114A5" w:rsidRPr="004114A5" w:rsidRDefault="004114A5" w:rsidP="004114A5">
      <w:pPr>
        <w:divId w:val="465317432"/>
      </w:pPr>
      <w:r w:rsidRPr="004114A5">
        <w:t>The updates reflect a shift towards more patient-</w:t>
      </w:r>
      <w:proofErr w:type="spellStart"/>
      <w:r w:rsidRPr="004114A5">
        <w:t>centered</w:t>
      </w:r>
      <w:proofErr w:type="spellEnd"/>
      <w:r w:rsidRPr="004114A5">
        <w:t xml:space="preserve"> care, with the inclusion of exclusions for treatments based on clinical judgment or patient preferences. This approach aligns treatment protocols with individual patient needs and circumstances, potentially improving adherence and outcomes.</w:t>
      </w:r>
    </w:p>
    <w:p w14:paraId="112EDBB6" w14:textId="4820EFA8" w:rsidR="00234B39" w:rsidRPr="004114A5" w:rsidRDefault="00000000" w:rsidP="004114A5">
      <w:pPr>
        <w:pStyle w:val="NormalWeb"/>
        <w:divId w:val="465317432"/>
        <w:rPr>
          <w:rFonts w:ascii="Arial" w:hAnsi="Arial" w:cs="Arial"/>
          <w:sz w:val="28"/>
          <w:szCs w:val="28"/>
          <w:lang w:val="en"/>
        </w:rPr>
      </w:pPr>
      <w:r w:rsidRPr="004114A5">
        <w:rPr>
          <w:rStyle w:val="Strong"/>
          <w:rFonts w:ascii="Arial" w:hAnsi="Arial" w:cs="Arial"/>
          <w:sz w:val="28"/>
          <w:szCs w:val="28"/>
          <w:lang w:val="en"/>
        </w:rPr>
        <w:t xml:space="preserve">Potential Applications </w:t>
      </w:r>
      <w:r w:rsidR="004114A5" w:rsidRPr="004114A5">
        <w:rPr>
          <w:rStyle w:val="Strong"/>
          <w:rFonts w:ascii="Arial" w:hAnsi="Arial" w:cs="Arial"/>
          <w:sz w:val="28"/>
          <w:szCs w:val="28"/>
          <w:lang w:val="en"/>
        </w:rPr>
        <w:t>:</w:t>
      </w:r>
    </w:p>
    <w:p w14:paraId="123B0972" w14:textId="77777777" w:rsidR="004114A5" w:rsidRPr="004114A5" w:rsidRDefault="004114A5" w:rsidP="004114A5">
      <w:pPr>
        <w:pStyle w:val="NormalWeb"/>
        <w:divId w:val="465317432"/>
        <w:rPr>
          <w:rFonts w:ascii="Arial" w:hAnsi="Arial" w:cs="Arial"/>
        </w:rPr>
      </w:pPr>
      <w:r w:rsidRPr="004114A5">
        <w:rPr>
          <w:rFonts w:ascii="Arial" w:hAnsi="Arial" w:cs="Arial"/>
        </w:rPr>
        <w:t>The research findings on the 2020 updates to the ACC/AHA Clinical Performance and Quality Measures for Adults with Heart Failure have several potential applications and implications for clinical practice, healthcare systems, and patient outcomes:</w:t>
      </w:r>
    </w:p>
    <w:p w14:paraId="7DE6154E" w14:textId="77777777" w:rsidR="004114A5" w:rsidRPr="004114A5" w:rsidRDefault="004114A5" w:rsidP="004114A5">
      <w:pPr>
        <w:pStyle w:val="NormalWeb"/>
        <w:divId w:val="465317432"/>
        <w:rPr>
          <w:rFonts w:ascii="Arial" w:hAnsi="Arial" w:cs="Arial"/>
          <w:b/>
          <w:bCs/>
        </w:rPr>
      </w:pPr>
      <w:r w:rsidRPr="004114A5">
        <w:rPr>
          <w:rFonts w:ascii="Arial" w:hAnsi="Arial" w:cs="Arial"/>
          <w:b/>
          <w:bCs/>
        </w:rPr>
        <w:t>1. Enhanced Clinical Decision-Making:</w:t>
      </w:r>
    </w:p>
    <w:p w14:paraId="7ECC48B1" w14:textId="77777777" w:rsidR="004114A5" w:rsidRPr="004114A5" w:rsidRDefault="004114A5" w:rsidP="004114A5">
      <w:pPr>
        <w:pStyle w:val="NormalWeb"/>
        <w:numPr>
          <w:ilvl w:val="0"/>
          <w:numId w:val="19"/>
        </w:numPr>
        <w:divId w:val="465317432"/>
        <w:rPr>
          <w:rFonts w:ascii="Arial" w:hAnsi="Arial" w:cs="Arial"/>
        </w:rPr>
      </w:pPr>
      <w:r w:rsidRPr="004114A5">
        <w:rPr>
          <w:rFonts w:ascii="Arial" w:hAnsi="Arial" w:cs="Arial"/>
          <w:b/>
          <w:bCs/>
        </w:rPr>
        <w:t>Personalized Treatment Plans:</w:t>
      </w:r>
      <w:r w:rsidRPr="004114A5">
        <w:rPr>
          <w:rFonts w:ascii="Arial" w:hAnsi="Arial" w:cs="Arial"/>
        </w:rPr>
        <w:t xml:space="preserve"> The inclusion of patient-reported outcomes and the emphasis on patient-</w:t>
      </w:r>
      <w:proofErr w:type="spellStart"/>
      <w:r w:rsidRPr="004114A5">
        <w:rPr>
          <w:rFonts w:ascii="Arial" w:hAnsi="Arial" w:cs="Arial"/>
        </w:rPr>
        <w:t>centered</w:t>
      </w:r>
      <w:proofErr w:type="spellEnd"/>
      <w:r w:rsidRPr="004114A5">
        <w:rPr>
          <w:rFonts w:ascii="Arial" w:hAnsi="Arial" w:cs="Arial"/>
        </w:rPr>
        <w:t xml:space="preserve"> care can help clinicians tailor treatment plans more effectively to individual patient needs, preferences, and responses. This approach can lead to more personalized and effective care strategies.</w:t>
      </w:r>
    </w:p>
    <w:p w14:paraId="7E0DBC23" w14:textId="77777777" w:rsidR="004114A5" w:rsidRPr="004114A5" w:rsidRDefault="004114A5" w:rsidP="004114A5">
      <w:pPr>
        <w:pStyle w:val="NormalWeb"/>
        <w:divId w:val="465317432"/>
        <w:rPr>
          <w:rFonts w:ascii="Arial" w:hAnsi="Arial" w:cs="Arial"/>
          <w:b/>
          <w:bCs/>
        </w:rPr>
      </w:pPr>
      <w:r w:rsidRPr="004114A5">
        <w:rPr>
          <w:rFonts w:ascii="Arial" w:hAnsi="Arial" w:cs="Arial"/>
          <w:b/>
          <w:bCs/>
        </w:rPr>
        <w:t>2. Improved Medication Management:</w:t>
      </w:r>
    </w:p>
    <w:p w14:paraId="6FF78512" w14:textId="77777777" w:rsidR="004114A5" w:rsidRPr="004114A5" w:rsidRDefault="004114A5" w:rsidP="004114A5">
      <w:pPr>
        <w:pStyle w:val="NormalWeb"/>
        <w:numPr>
          <w:ilvl w:val="0"/>
          <w:numId w:val="20"/>
        </w:numPr>
        <w:divId w:val="465317432"/>
        <w:rPr>
          <w:rFonts w:ascii="Arial" w:hAnsi="Arial" w:cs="Arial"/>
        </w:rPr>
      </w:pPr>
      <w:r w:rsidRPr="004114A5">
        <w:rPr>
          <w:rFonts w:ascii="Arial" w:hAnsi="Arial" w:cs="Arial"/>
          <w:b/>
          <w:bCs/>
        </w:rPr>
        <w:t>Optimization of Medication Dosing:</w:t>
      </w:r>
      <w:r w:rsidRPr="004114A5">
        <w:rPr>
          <w:rFonts w:ascii="Arial" w:hAnsi="Arial" w:cs="Arial"/>
        </w:rPr>
        <w:t xml:space="preserve"> The new focus on medication titration provides a framework for ensuring that patients receive the most effective doses of heart failure medications. This can reduce the risk of under-treatment, improve clinical outcomes, and minimize adverse effects, leading to better overall management of heart failure.</w:t>
      </w:r>
    </w:p>
    <w:p w14:paraId="05B8F536" w14:textId="77777777" w:rsidR="004114A5" w:rsidRPr="004114A5" w:rsidRDefault="004114A5" w:rsidP="004114A5">
      <w:pPr>
        <w:pStyle w:val="NormalWeb"/>
        <w:divId w:val="465317432"/>
        <w:rPr>
          <w:rFonts w:ascii="Arial" w:hAnsi="Arial" w:cs="Arial"/>
          <w:b/>
          <w:bCs/>
        </w:rPr>
      </w:pPr>
      <w:r w:rsidRPr="004114A5">
        <w:rPr>
          <w:rFonts w:ascii="Arial" w:hAnsi="Arial" w:cs="Arial"/>
          <w:b/>
          <w:bCs/>
        </w:rPr>
        <w:t>3. Risk Management and Safety Monitoring:</w:t>
      </w:r>
    </w:p>
    <w:p w14:paraId="23A3BADD" w14:textId="77777777" w:rsidR="004114A5" w:rsidRPr="004114A5" w:rsidRDefault="004114A5" w:rsidP="004114A5">
      <w:pPr>
        <w:pStyle w:val="NormalWeb"/>
        <w:numPr>
          <w:ilvl w:val="0"/>
          <w:numId w:val="21"/>
        </w:numPr>
        <w:divId w:val="465317432"/>
        <w:rPr>
          <w:rFonts w:ascii="Arial" w:hAnsi="Arial" w:cs="Arial"/>
        </w:rPr>
      </w:pPr>
      <w:r w:rsidRPr="004114A5">
        <w:rPr>
          <w:rFonts w:ascii="Arial" w:hAnsi="Arial" w:cs="Arial"/>
          <w:b/>
          <w:bCs/>
        </w:rPr>
        <w:t>Proactive Safety Measures:</w:t>
      </w:r>
      <w:r w:rsidRPr="004114A5">
        <w:rPr>
          <w:rFonts w:ascii="Arial" w:hAnsi="Arial" w:cs="Arial"/>
        </w:rPr>
        <w:t xml:space="preserve"> The introduction of safety measures, particularly for patients on MRAs, can help prevent complications such as </w:t>
      </w:r>
      <w:proofErr w:type="spellStart"/>
      <w:r w:rsidRPr="004114A5">
        <w:rPr>
          <w:rFonts w:ascii="Arial" w:hAnsi="Arial" w:cs="Arial"/>
        </w:rPr>
        <w:t>hyperkalemia</w:t>
      </w:r>
      <w:proofErr w:type="spellEnd"/>
      <w:r w:rsidRPr="004114A5">
        <w:rPr>
          <w:rFonts w:ascii="Arial" w:hAnsi="Arial" w:cs="Arial"/>
        </w:rPr>
        <w:t xml:space="preserve">. This proactive approach to safety monitoring can </w:t>
      </w:r>
      <w:r w:rsidRPr="004114A5">
        <w:rPr>
          <w:rFonts w:ascii="Arial" w:hAnsi="Arial" w:cs="Arial"/>
        </w:rPr>
        <w:lastRenderedPageBreak/>
        <w:t>reduce hospital readmissions and improve long-term patient outcomes by minimizing treatment-related risks.</w:t>
      </w:r>
    </w:p>
    <w:p w14:paraId="5B446422" w14:textId="77777777" w:rsidR="004114A5" w:rsidRPr="004114A5" w:rsidRDefault="004114A5" w:rsidP="004114A5">
      <w:pPr>
        <w:pStyle w:val="NormalWeb"/>
        <w:divId w:val="465317432"/>
        <w:rPr>
          <w:rFonts w:ascii="Arial" w:hAnsi="Arial" w:cs="Arial"/>
          <w:b/>
          <w:bCs/>
        </w:rPr>
      </w:pPr>
      <w:r w:rsidRPr="004114A5">
        <w:rPr>
          <w:rFonts w:ascii="Arial" w:hAnsi="Arial" w:cs="Arial"/>
          <w:b/>
          <w:bCs/>
        </w:rPr>
        <w:t>4. Integration of New Therapies into Practice:</w:t>
      </w:r>
    </w:p>
    <w:p w14:paraId="69C260DD" w14:textId="77777777" w:rsidR="004114A5" w:rsidRPr="004114A5" w:rsidRDefault="004114A5" w:rsidP="004114A5">
      <w:pPr>
        <w:pStyle w:val="NormalWeb"/>
        <w:numPr>
          <w:ilvl w:val="0"/>
          <w:numId w:val="22"/>
        </w:numPr>
        <w:divId w:val="465317432"/>
        <w:rPr>
          <w:rFonts w:ascii="Arial" w:hAnsi="Arial" w:cs="Arial"/>
        </w:rPr>
      </w:pPr>
      <w:r w:rsidRPr="004114A5">
        <w:rPr>
          <w:rFonts w:ascii="Arial" w:hAnsi="Arial" w:cs="Arial"/>
          <w:b/>
          <w:bCs/>
        </w:rPr>
        <w:t>Widespread Adoption of Innovative Therapies:</w:t>
      </w:r>
      <w:r w:rsidRPr="004114A5">
        <w:rPr>
          <w:rFonts w:ascii="Arial" w:hAnsi="Arial" w:cs="Arial"/>
        </w:rPr>
        <w:t xml:space="preserve"> By incorporating therapies like sacubitril/valsartan and CRT into the performance measures, healthcare providers are encouraged to adopt these advanced treatments more broadly. This can lead to better standardization of care and the widespread use of evidence-based therapies that improve survival and quality of life for heart failure patients.</w:t>
      </w:r>
    </w:p>
    <w:p w14:paraId="5F6ABA9B" w14:textId="77777777" w:rsidR="004114A5" w:rsidRDefault="004114A5" w:rsidP="004114A5">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A2200E0" w:rsidR="00234B39" w:rsidRDefault="00000000" w:rsidP="004114A5">
      <w:pPr>
        <w:pStyle w:val="NormalWeb"/>
        <w:divId w:val="465317432"/>
        <w:rPr>
          <w:rFonts w:ascii="Arial" w:hAnsi="Arial" w:cs="Arial"/>
          <w:lang w:val="en"/>
        </w:rPr>
      </w:pPr>
      <w:r>
        <w:rPr>
          <w:rStyle w:val="Strong"/>
          <w:rFonts w:ascii="Arial" w:hAnsi="Arial" w:cs="Arial"/>
          <w:lang w:val="en"/>
        </w:rPr>
        <w:t xml:space="preserve">Clarity </w:t>
      </w:r>
      <w:r>
        <w:rPr>
          <w:rFonts w:ascii="Arial" w:hAnsi="Arial" w:cs="Arial"/>
          <w:lang w:val="en"/>
        </w:rPr>
        <w:t xml:space="preserve">: </w:t>
      </w:r>
    </w:p>
    <w:p w14:paraId="36B35C88" w14:textId="77777777" w:rsidR="004114A5" w:rsidRPr="004114A5" w:rsidRDefault="004114A5" w:rsidP="004114A5">
      <w:pPr>
        <w:pStyle w:val="NormalWeb"/>
        <w:divId w:val="465317432"/>
        <w:rPr>
          <w:rFonts w:ascii="Arial" w:hAnsi="Arial" w:cs="Arial"/>
        </w:rPr>
      </w:pPr>
      <w:r w:rsidRPr="004114A5">
        <w:rPr>
          <w:rFonts w:ascii="Arial" w:hAnsi="Arial" w:cs="Arial"/>
          <w:b/>
          <w:bCs/>
        </w:rPr>
        <w:t>1. Summary Clarity:</w:t>
      </w:r>
    </w:p>
    <w:p w14:paraId="19F197E3" w14:textId="77777777" w:rsidR="004114A5" w:rsidRPr="004114A5" w:rsidRDefault="004114A5" w:rsidP="004114A5">
      <w:pPr>
        <w:pStyle w:val="NormalWeb"/>
        <w:numPr>
          <w:ilvl w:val="0"/>
          <w:numId w:val="23"/>
        </w:numPr>
        <w:divId w:val="465317432"/>
        <w:rPr>
          <w:rFonts w:ascii="Arial" w:hAnsi="Arial" w:cs="Arial"/>
        </w:rPr>
      </w:pPr>
      <w:r w:rsidRPr="004114A5">
        <w:rPr>
          <w:rFonts w:ascii="Arial" w:hAnsi="Arial" w:cs="Arial"/>
          <w:b/>
          <w:bCs/>
        </w:rPr>
        <w:t>Conciseness:</w:t>
      </w:r>
      <w:r w:rsidRPr="004114A5">
        <w:rPr>
          <w:rFonts w:ascii="Arial" w:hAnsi="Arial" w:cs="Arial"/>
        </w:rPr>
        <w:t xml:space="preserve"> The summary is concise, capturing the key updates from the 2020 ACC/AHA measures. It effectively outlines the main changes, such as the introduction of new safety and treatment measures, the inclusion of new therapies, and the emphasis on medication titration. The summary is straightforward and does not include unnecessary details, making it easy to follow.</w:t>
      </w:r>
    </w:p>
    <w:p w14:paraId="645CA812" w14:textId="77777777" w:rsidR="004114A5" w:rsidRPr="004114A5" w:rsidRDefault="004114A5" w:rsidP="004114A5">
      <w:pPr>
        <w:pStyle w:val="NormalWeb"/>
        <w:numPr>
          <w:ilvl w:val="0"/>
          <w:numId w:val="23"/>
        </w:numPr>
        <w:divId w:val="465317432"/>
        <w:rPr>
          <w:rFonts w:ascii="Arial" w:hAnsi="Arial" w:cs="Arial"/>
        </w:rPr>
      </w:pPr>
      <w:r w:rsidRPr="004114A5">
        <w:rPr>
          <w:rFonts w:ascii="Arial" w:hAnsi="Arial" w:cs="Arial"/>
          <w:b/>
          <w:bCs/>
        </w:rPr>
        <w:t>Structure:</w:t>
      </w:r>
      <w:r w:rsidRPr="004114A5">
        <w:rPr>
          <w:rFonts w:ascii="Arial" w:hAnsi="Arial" w:cs="Arial"/>
        </w:rPr>
        <w:t xml:space="preserve"> The summary is well-structured, with clear headings that organize the information into distinct sections. This helps the reader easily navigate the content and understand the progression of the updates.</w:t>
      </w:r>
    </w:p>
    <w:p w14:paraId="51A894C1" w14:textId="77777777" w:rsidR="004114A5" w:rsidRPr="004114A5" w:rsidRDefault="004114A5" w:rsidP="004114A5">
      <w:pPr>
        <w:pStyle w:val="NormalWeb"/>
        <w:numPr>
          <w:ilvl w:val="0"/>
          <w:numId w:val="23"/>
        </w:numPr>
        <w:divId w:val="465317432"/>
        <w:rPr>
          <w:rFonts w:ascii="Arial" w:hAnsi="Arial" w:cs="Arial"/>
        </w:rPr>
      </w:pPr>
      <w:r w:rsidRPr="004114A5">
        <w:rPr>
          <w:rFonts w:ascii="Arial" w:hAnsi="Arial" w:cs="Arial"/>
          <w:b/>
          <w:bCs/>
        </w:rPr>
        <w:t>Comprehensiveness:</w:t>
      </w:r>
      <w:r w:rsidRPr="004114A5">
        <w:rPr>
          <w:rFonts w:ascii="Arial" w:hAnsi="Arial" w:cs="Arial"/>
        </w:rPr>
        <w:t xml:space="preserve"> The summary covers the most important aspects of the 2020 updates, including the anticipated impact on healthcare providers and patient outcomes. It provides a balanced view of both the clinical and patient-</w:t>
      </w:r>
      <w:proofErr w:type="spellStart"/>
      <w:r w:rsidRPr="004114A5">
        <w:rPr>
          <w:rFonts w:ascii="Arial" w:hAnsi="Arial" w:cs="Arial"/>
        </w:rPr>
        <w:t>centered</w:t>
      </w:r>
      <w:proofErr w:type="spellEnd"/>
      <w:r w:rsidRPr="004114A5">
        <w:rPr>
          <w:rFonts w:ascii="Arial" w:hAnsi="Arial" w:cs="Arial"/>
        </w:rPr>
        <w:t xml:space="preserve"> implications, making it a comprehensive overview of the topic.</w:t>
      </w:r>
    </w:p>
    <w:p w14:paraId="4B5F7E43" w14:textId="77777777" w:rsidR="004114A5" w:rsidRPr="004114A5" w:rsidRDefault="004114A5" w:rsidP="004114A5">
      <w:pPr>
        <w:pStyle w:val="NormalWeb"/>
        <w:divId w:val="465317432"/>
        <w:rPr>
          <w:rFonts w:ascii="Arial" w:hAnsi="Arial" w:cs="Arial"/>
        </w:rPr>
      </w:pPr>
      <w:r w:rsidRPr="004114A5">
        <w:rPr>
          <w:rFonts w:ascii="Arial" w:hAnsi="Arial" w:cs="Arial"/>
          <w:b/>
          <w:bCs/>
        </w:rPr>
        <w:t>2. Insights Clarity:</w:t>
      </w:r>
    </w:p>
    <w:p w14:paraId="297BBB7D" w14:textId="77777777" w:rsidR="004114A5" w:rsidRPr="004114A5" w:rsidRDefault="004114A5" w:rsidP="004114A5">
      <w:pPr>
        <w:pStyle w:val="NormalWeb"/>
        <w:numPr>
          <w:ilvl w:val="0"/>
          <w:numId w:val="24"/>
        </w:numPr>
        <w:divId w:val="465317432"/>
        <w:rPr>
          <w:rFonts w:ascii="Arial" w:hAnsi="Arial" w:cs="Arial"/>
        </w:rPr>
      </w:pPr>
      <w:r w:rsidRPr="004114A5">
        <w:rPr>
          <w:rFonts w:ascii="Arial" w:hAnsi="Arial" w:cs="Arial"/>
          <w:b/>
          <w:bCs/>
        </w:rPr>
        <w:t>Depth of Analysis:</w:t>
      </w:r>
      <w:r w:rsidRPr="004114A5">
        <w:rPr>
          <w:rFonts w:ascii="Arial" w:hAnsi="Arial" w:cs="Arial"/>
        </w:rPr>
        <w:t xml:space="preserve"> The insights delve into the potential applications and implications of the research findings in a clear and logical manner. Each potential application is explained with sufficient detail to convey its importance and relevance to clinical practice.</w:t>
      </w:r>
    </w:p>
    <w:p w14:paraId="0AD47A83" w14:textId="77777777" w:rsidR="004114A5" w:rsidRPr="004114A5" w:rsidRDefault="004114A5" w:rsidP="004114A5">
      <w:pPr>
        <w:pStyle w:val="NormalWeb"/>
        <w:numPr>
          <w:ilvl w:val="0"/>
          <w:numId w:val="24"/>
        </w:numPr>
        <w:divId w:val="465317432"/>
        <w:rPr>
          <w:rFonts w:ascii="Arial" w:hAnsi="Arial" w:cs="Arial"/>
        </w:rPr>
      </w:pPr>
      <w:r w:rsidRPr="004114A5">
        <w:rPr>
          <w:rFonts w:ascii="Arial" w:hAnsi="Arial" w:cs="Arial"/>
          <w:b/>
          <w:bCs/>
        </w:rPr>
        <w:t>Relevance:</w:t>
      </w:r>
      <w:r w:rsidRPr="004114A5">
        <w:rPr>
          <w:rFonts w:ascii="Arial" w:hAnsi="Arial" w:cs="Arial"/>
        </w:rPr>
        <w:t xml:space="preserve"> The insights are directly relevant to the key updates highlighted in the summary. They connect the updated measures to real-world clinical and healthcare system applications, which enhances their clarity and impact.</w:t>
      </w:r>
    </w:p>
    <w:p w14:paraId="146CADBD" w14:textId="77777777" w:rsidR="004114A5" w:rsidRPr="004114A5" w:rsidRDefault="004114A5" w:rsidP="004114A5">
      <w:pPr>
        <w:pStyle w:val="NormalWeb"/>
        <w:numPr>
          <w:ilvl w:val="0"/>
          <w:numId w:val="24"/>
        </w:numPr>
        <w:divId w:val="465317432"/>
        <w:rPr>
          <w:rFonts w:ascii="Arial" w:hAnsi="Arial" w:cs="Arial"/>
        </w:rPr>
      </w:pPr>
      <w:r w:rsidRPr="004114A5">
        <w:rPr>
          <w:rFonts w:ascii="Arial" w:hAnsi="Arial" w:cs="Arial"/>
          <w:b/>
          <w:bCs/>
        </w:rPr>
        <w:t>Language and Terminology:</w:t>
      </w:r>
      <w:r w:rsidRPr="004114A5">
        <w:rPr>
          <w:rFonts w:ascii="Arial" w:hAnsi="Arial" w:cs="Arial"/>
        </w:rPr>
        <w:t xml:space="preserve"> The language used in both the summary and insights is clear and accessible, with appropriate use of clinical </w:t>
      </w:r>
      <w:r w:rsidRPr="004114A5">
        <w:rPr>
          <w:rFonts w:ascii="Arial" w:hAnsi="Arial" w:cs="Arial"/>
        </w:rPr>
        <w:lastRenderedPageBreak/>
        <w:t>terminology. The explanations are straightforward, avoiding overly technical jargon that could confuse the reader.</w:t>
      </w:r>
    </w:p>
    <w:p w14:paraId="7541C8E1" w14:textId="77777777" w:rsidR="004114A5" w:rsidRPr="004114A5" w:rsidRDefault="004114A5" w:rsidP="004114A5">
      <w:pPr>
        <w:pStyle w:val="NormalWeb"/>
        <w:ind w:right="300"/>
        <w:divId w:val="465317432"/>
        <w:rPr>
          <w:rFonts w:ascii="Arial" w:hAnsi="Arial" w:cs="Arial"/>
        </w:rPr>
      </w:pPr>
    </w:p>
    <w:p w14:paraId="2C98F647" w14:textId="211DAF92" w:rsidR="00234B39" w:rsidRDefault="00000000" w:rsidP="004114A5">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7FEFF77E" w14:textId="77777777" w:rsidR="004114A5" w:rsidRPr="004114A5" w:rsidRDefault="004114A5" w:rsidP="004114A5">
      <w:pPr>
        <w:pStyle w:val="NormalWeb"/>
        <w:divId w:val="465317432"/>
        <w:rPr>
          <w:rFonts w:ascii="Arial" w:hAnsi="Arial" w:cs="Arial"/>
        </w:rPr>
      </w:pPr>
      <w:r w:rsidRPr="004114A5">
        <w:rPr>
          <w:rFonts w:ascii="Arial" w:hAnsi="Arial" w:cs="Arial"/>
          <w:b/>
          <w:bCs/>
        </w:rPr>
        <w:t>Summary Accuracy:</w:t>
      </w:r>
    </w:p>
    <w:p w14:paraId="33F6951C" w14:textId="77777777" w:rsidR="004114A5" w:rsidRDefault="004114A5" w:rsidP="004114A5">
      <w:pPr>
        <w:divId w:val="465317432"/>
      </w:pPr>
      <w:r w:rsidRPr="004114A5">
        <w:rPr>
          <w:b/>
          <w:bCs/>
        </w:rPr>
        <w:t>Reflection of Key Updates:</w:t>
      </w:r>
      <w:r w:rsidRPr="004114A5">
        <w:t xml:space="preserve"> The summary accurately reflects the key updates from the 2020 ACC/AHA Clinical Performance and Quality Measures for Adults with Heart Failure, including the introduction of new safety measures, the inclusion of novel therapies like sacubitril/valsartan, and the focus on medication titration. The details align well with the documented updates in the measure set.</w:t>
      </w:r>
    </w:p>
    <w:p w14:paraId="20B19321" w14:textId="77777777" w:rsidR="004114A5" w:rsidRPr="004114A5" w:rsidRDefault="004114A5" w:rsidP="004114A5">
      <w:pPr>
        <w:divId w:val="465317432"/>
      </w:pPr>
    </w:p>
    <w:p w14:paraId="15C32239" w14:textId="77777777" w:rsidR="004114A5" w:rsidRDefault="004114A5" w:rsidP="004114A5">
      <w:pPr>
        <w:divId w:val="465317432"/>
      </w:pPr>
      <w:r w:rsidRPr="004114A5">
        <w:rPr>
          <w:b/>
          <w:bCs/>
        </w:rPr>
        <w:t>Details on Safety and Treatment Measures:</w:t>
      </w:r>
      <w:r w:rsidRPr="004114A5">
        <w:t xml:space="preserve"> The summary correctly identifies the new safety measure related to laboratory monitoring for patients on mineralocorticoid receptor antagonists (MRAs). It also accurately mentions the inclusion of sacubitril/valsartan as a new therapeutic option, consistent with the 2020 updates.</w:t>
      </w:r>
    </w:p>
    <w:p w14:paraId="05852E87" w14:textId="77777777" w:rsidR="004114A5" w:rsidRPr="004114A5" w:rsidRDefault="004114A5" w:rsidP="004114A5">
      <w:pPr>
        <w:divId w:val="465317432"/>
      </w:pPr>
    </w:p>
    <w:p w14:paraId="7A04B062" w14:textId="77777777" w:rsidR="004114A5" w:rsidRPr="004114A5" w:rsidRDefault="004114A5" w:rsidP="004114A5">
      <w:pPr>
        <w:divId w:val="465317432"/>
      </w:pPr>
      <w:r w:rsidRPr="004114A5">
        <w:rPr>
          <w:b/>
          <w:bCs/>
        </w:rPr>
        <w:t>Inclusions and Exclusions:</w:t>
      </w:r>
      <w:r w:rsidRPr="004114A5">
        <w:t xml:space="preserve"> The discussion on inclusions and exclusions is accurate, noting the measure set’s emphasis on patient-</w:t>
      </w:r>
      <w:proofErr w:type="spellStart"/>
      <w:r w:rsidRPr="004114A5">
        <w:t>centered</w:t>
      </w:r>
      <w:proofErr w:type="spellEnd"/>
      <w:r w:rsidRPr="004114A5">
        <w:t xml:space="preserve"> care and the clinical judgment involved in deciding exclusions. This is in line with the updated guidelines that aim to tailor treatment to individual patient needs.</w:t>
      </w:r>
    </w:p>
    <w:p w14:paraId="17B05C05" w14:textId="77777777" w:rsidR="004114A5" w:rsidRDefault="004114A5" w:rsidP="004114A5">
      <w:pPr>
        <w:divId w:val="465317432"/>
        <w:rPr>
          <w:lang w:val="en"/>
        </w:rPr>
      </w:pPr>
    </w:p>
    <w:p w14:paraId="032CD3EB" w14:textId="49A18F01" w:rsidR="00234B39" w:rsidRDefault="00000000" w:rsidP="004114A5">
      <w:pPr>
        <w:pStyle w:val="NormalWeb"/>
        <w:divId w:val="465317432"/>
        <w:rPr>
          <w:rFonts w:ascii="Arial" w:hAnsi="Arial" w:cs="Arial"/>
          <w:lang w:val="en"/>
        </w:rPr>
      </w:pPr>
      <w:r>
        <w:rPr>
          <w:rStyle w:val="Strong"/>
          <w:rFonts w:ascii="Arial" w:hAnsi="Arial" w:cs="Arial"/>
          <w:lang w:val="en"/>
        </w:rPr>
        <w:t xml:space="preserve">Relevance </w:t>
      </w:r>
      <w:r>
        <w:rPr>
          <w:rFonts w:ascii="Arial" w:hAnsi="Arial" w:cs="Arial"/>
          <w:lang w:val="en"/>
        </w:rPr>
        <w:t xml:space="preserve">: </w:t>
      </w:r>
    </w:p>
    <w:p w14:paraId="385E3A9A" w14:textId="77777777" w:rsidR="004114A5" w:rsidRPr="004114A5" w:rsidRDefault="004114A5" w:rsidP="004114A5">
      <w:pPr>
        <w:pStyle w:val="NormalWeb"/>
        <w:divId w:val="465317432"/>
        <w:rPr>
          <w:rFonts w:ascii="Arial" w:hAnsi="Arial" w:cs="Arial"/>
        </w:rPr>
      </w:pPr>
      <w:r w:rsidRPr="004114A5">
        <w:rPr>
          <w:rFonts w:ascii="Arial" w:hAnsi="Arial" w:cs="Arial"/>
          <w:b/>
          <w:bCs/>
        </w:rPr>
        <w:t>1. Alignment with the 2020 Updates:</w:t>
      </w:r>
    </w:p>
    <w:p w14:paraId="11FB0256" w14:textId="77777777" w:rsidR="004114A5" w:rsidRPr="004114A5" w:rsidRDefault="004114A5" w:rsidP="004114A5">
      <w:pPr>
        <w:pStyle w:val="NormalWeb"/>
        <w:numPr>
          <w:ilvl w:val="0"/>
          <w:numId w:val="26"/>
        </w:numPr>
        <w:divId w:val="465317432"/>
        <w:rPr>
          <w:rFonts w:ascii="Arial" w:hAnsi="Arial" w:cs="Arial"/>
        </w:rPr>
      </w:pPr>
      <w:r w:rsidRPr="004114A5">
        <w:rPr>
          <w:rFonts w:ascii="Arial" w:hAnsi="Arial" w:cs="Arial"/>
          <w:b/>
          <w:bCs/>
        </w:rPr>
        <w:t>Direct Connection to Key Updates:</w:t>
      </w:r>
      <w:r w:rsidRPr="004114A5">
        <w:rPr>
          <w:rFonts w:ascii="Arial" w:hAnsi="Arial" w:cs="Arial"/>
        </w:rPr>
        <w:t xml:space="preserve"> The insights and applications directly connect to the key updates in the 2020 ACC/AHA measures. For example, the focus on </w:t>
      </w:r>
      <w:r w:rsidRPr="004114A5">
        <w:rPr>
          <w:rFonts w:ascii="Arial" w:hAnsi="Arial" w:cs="Arial"/>
          <w:b/>
          <w:bCs/>
        </w:rPr>
        <w:t>medication titration</w:t>
      </w:r>
      <w:r w:rsidRPr="004114A5">
        <w:rPr>
          <w:rFonts w:ascii="Arial" w:hAnsi="Arial" w:cs="Arial"/>
        </w:rPr>
        <w:t xml:space="preserve"> and </w:t>
      </w:r>
      <w:r w:rsidRPr="004114A5">
        <w:rPr>
          <w:rFonts w:ascii="Arial" w:hAnsi="Arial" w:cs="Arial"/>
          <w:b/>
          <w:bCs/>
        </w:rPr>
        <w:t>safety measures</w:t>
      </w:r>
      <w:r w:rsidRPr="004114A5">
        <w:rPr>
          <w:rFonts w:ascii="Arial" w:hAnsi="Arial" w:cs="Arial"/>
        </w:rPr>
        <w:t xml:space="preserve"> aligns with the new guidelines that emphasize the importance of optimized dosing and safety monitoring. This direct alignment ensures that the insights are highly relevant to the changes introduced.</w:t>
      </w:r>
    </w:p>
    <w:p w14:paraId="65954F4B" w14:textId="77777777" w:rsidR="004114A5" w:rsidRPr="004114A5" w:rsidRDefault="004114A5" w:rsidP="004114A5">
      <w:pPr>
        <w:pStyle w:val="NormalWeb"/>
        <w:divId w:val="465317432"/>
        <w:rPr>
          <w:rFonts w:ascii="Arial" w:hAnsi="Arial" w:cs="Arial"/>
        </w:rPr>
      </w:pPr>
      <w:r w:rsidRPr="004114A5">
        <w:rPr>
          <w:rFonts w:ascii="Arial" w:hAnsi="Arial" w:cs="Arial"/>
          <w:b/>
          <w:bCs/>
        </w:rPr>
        <w:t>2. Practical Implications for Clinical Practice:</w:t>
      </w:r>
    </w:p>
    <w:p w14:paraId="2C0FD6F9" w14:textId="77777777" w:rsidR="004114A5" w:rsidRPr="004114A5" w:rsidRDefault="004114A5" w:rsidP="004114A5">
      <w:pPr>
        <w:pStyle w:val="NormalWeb"/>
        <w:numPr>
          <w:ilvl w:val="0"/>
          <w:numId w:val="27"/>
        </w:numPr>
        <w:divId w:val="465317432"/>
        <w:rPr>
          <w:rFonts w:ascii="Arial" w:hAnsi="Arial" w:cs="Arial"/>
        </w:rPr>
      </w:pPr>
      <w:r w:rsidRPr="004114A5">
        <w:rPr>
          <w:rFonts w:ascii="Arial" w:hAnsi="Arial" w:cs="Arial"/>
          <w:b/>
          <w:bCs/>
        </w:rPr>
        <w:t>Medication Management:</w:t>
      </w:r>
      <w:r w:rsidRPr="004114A5">
        <w:rPr>
          <w:rFonts w:ascii="Arial" w:hAnsi="Arial" w:cs="Arial"/>
        </w:rPr>
        <w:t xml:space="preserve"> The emphasis on optimizing medication dosing is highly relevant to clinical practice. Under-titration is a well-documented issue in heart failure management, and the insights highlight how the new measures can address this gap. This makes the application of these insights particularly relevant for clinicians seeking to improve patient outcomes.</w:t>
      </w:r>
    </w:p>
    <w:p w14:paraId="76B6E96B" w14:textId="77777777" w:rsidR="004114A5" w:rsidRPr="004114A5" w:rsidRDefault="004114A5" w:rsidP="004114A5">
      <w:pPr>
        <w:pStyle w:val="NormalWeb"/>
        <w:numPr>
          <w:ilvl w:val="0"/>
          <w:numId w:val="27"/>
        </w:numPr>
        <w:divId w:val="465317432"/>
        <w:rPr>
          <w:rFonts w:ascii="Arial" w:hAnsi="Arial" w:cs="Arial"/>
        </w:rPr>
      </w:pPr>
      <w:r w:rsidRPr="004114A5">
        <w:rPr>
          <w:rFonts w:ascii="Arial" w:hAnsi="Arial" w:cs="Arial"/>
          <w:b/>
          <w:bCs/>
        </w:rPr>
        <w:t>Adoption of New Therapies:</w:t>
      </w:r>
      <w:r w:rsidRPr="004114A5">
        <w:rPr>
          <w:rFonts w:ascii="Arial" w:hAnsi="Arial" w:cs="Arial"/>
        </w:rPr>
        <w:t xml:space="preserve"> The application of the updated measures to encourage the adoption of new therapies like sacubitril/valsartan is relevant, given the evidence supporting their efficacy. This application is crucial for ensuring that patients receive the most effective treatments available.</w:t>
      </w:r>
    </w:p>
    <w:p w14:paraId="62259B57" w14:textId="77777777" w:rsidR="004114A5" w:rsidRPr="004114A5" w:rsidRDefault="004114A5" w:rsidP="004114A5">
      <w:pPr>
        <w:pStyle w:val="NormalWeb"/>
        <w:divId w:val="465317432"/>
        <w:rPr>
          <w:rFonts w:ascii="Arial" w:hAnsi="Arial" w:cs="Arial"/>
        </w:rPr>
      </w:pPr>
      <w:r w:rsidRPr="004114A5">
        <w:rPr>
          <w:rFonts w:ascii="Arial" w:hAnsi="Arial" w:cs="Arial"/>
          <w:b/>
          <w:bCs/>
        </w:rPr>
        <w:lastRenderedPageBreak/>
        <w:t>3. Relevance to Patient-</w:t>
      </w:r>
      <w:proofErr w:type="spellStart"/>
      <w:r w:rsidRPr="004114A5">
        <w:rPr>
          <w:rFonts w:ascii="Arial" w:hAnsi="Arial" w:cs="Arial"/>
          <w:b/>
          <w:bCs/>
        </w:rPr>
        <w:t>Centered</w:t>
      </w:r>
      <w:proofErr w:type="spellEnd"/>
      <w:r w:rsidRPr="004114A5">
        <w:rPr>
          <w:rFonts w:ascii="Arial" w:hAnsi="Arial" w:cs="Arial"/>
          <w:b/>
          <w:bCs/>
        </w:rPr>
        <w:t xml:space="preserve"> Care:</w:t>
      </w:r>
    </w:p>
    <w:p w14:paraId="57C540FB" w14:textId="77777777" w:rsidR="004114A5" w:rsidRPr="004114A5" w:rsidRDefault="004114A5" w:rsidP="004114A5">
      <w:pPr>
        <w:pStyle w:val="NormalWeb"/>
        <w:numPr>
          <w:ilvl w:val="0"/>
          <w:numId w:val="28"/>
        </w:numPr>
        <w:divId w:val="465317432"/>
        <w:rPr>
          <w:rFonts w:ascii="Arial" w:hAnsi="Arial" w:cs="Arial"/>
        </w:rPr>
      </w:pPr>
      <w:r w:rsidRPr="004114A5">
        <w:rPr>
          <w:rFonts w:ascii="Arial" w:hAnsi="Arial" w:cs="Arial"/>
          <w:b/>
          <w:bCs/>
        </w:rPr>
        <w:t>Patient Engagement:</w:t>
      </w:r>
      <w:r w:rsidRPr="004114A5">
        <w:rPr>
          <w:rFonts w:ascii="Arial" w:hAnsi="Arial" w:cs="Arial"/>
        </w:rPr>
        <w:t xml:space="preserve"> The insights’ focus on </w:t>
      </w:r>
      <w:r w:rsidRPr="004114A5">
        <w:rPr>
          <w:rFonts w:ascii="Arial" w:hAnsi="Arial" w:cs="Arial"/>
          <w:b/>
          <w:bCs/>
        </w:rPr>
        <w:t>patient-</w:t>
      </w:r>
      <w:proofErr w:type="spellStart"/>
      <w:r w:rsidRPr="004114A5">
        <w:rPr>
          <w:rFonts w:ascii="Arial" w:hAnsi="Arial" w:cs="Arial"/>
          <w:b/>
          <w:bCs/>
        </w:rPr>
        <w:t>centered</w:t>
      </w:r>
      <w:proofErr w:type="spellEnd"/>
      <w:r w:rsidRPr="004114A5">
        <w:rPr>
          <w:rFonts w:ascii="Arial" w:hAnsi="Arial" w:cs="Arial"/>
          <w:b/>
          <w:bCs/>
        </w:rPr>
        <w:t xml:space="preserve"> care</w:t>
      </w:r>
      <w:r w:rsidRPr="004114A5">
        <w:rPr>
          <w:rFonts w:ascii="Arial" w:hAnsi="Arial" w:cs="Arial"/>
        </w:rPr>
        <w:t xml:space="preserve"> and the use of patient-reported outcomes is highly relevant in the current healthcare environment, where there is a strong emphasis on personalized care and patient involvement in decision-making. This relevance is further enhanced by the growing recognition of the role of patient perspectives in improving health outcomes.</w:t>
      </w:r>
    </w:p>
    <w:p w14:paraId="2425C478" w14:textId="00C7EE3E" w:rsidR="004114A5" w:rsidRDefault="004114A5" w:rsidP="004114A5">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08962BB" w14:textId="77777777" w:rsidR="004114A5" w:rsidRPr="004114A5" w:rsidRDefault="004114A5" w:rsidP="004114A5">
      <w:pPr>
        <w:pStyle w:val="NormalWeb"/>
        <w:divId w:val="465317432"/>
        <w:rPr>
          <w:rFonts w:ascii="Arial" w:hAnsi="Arial" w:cs="Arial"/>
        </w:rPr>
      </w:pPr>
      <w:r w:rsidRPr="004114A5">
        <w:rPr>
          <w:rFonts w:ascii="Arial" w:hAnsi="Arial" w:cs="Arial"/>
        </w:rPr>
        <w:t>Reflecting on the 2020 ACC/AHA Clinical Performance and Quality Measures for Adults with Heart Failure, my learning experience was both enlightening and challenging. The guidelines provided a comprehensive framework for improving heart failure management through evidence-based practices. Understanding these measures required diving deep into both clinical guidelines and performance metrics, which was initially overwhelming.</w:t>
      </w:r>
    </w:p>
    <w:p w14:paraId="619D94BF" w14:textId="77777777" w:rsidR="004114A5" w:rsidRPr="004114A5" w:rsidRDefault="004114A5" w:rsidP="004114A5">
      <w:pPr>
        <w:pStyle w:val="NormalWeb"/>
        <w:divId w:val="465317432"/>
        <w:rPr>
          <w:rFonts w:ascii="Arial" w:hAnsi="Arial" w:cs="Arial"/>
        </w:rPr>
      </w:pPr>
      <w:r w:rsidRPr="004114A5">
        <w:rPr>
          <w:rFonts w:ascii="Arial" w:hAnsi="Arial" w:cs="Arial"/>
        </w:rPr>
        <w:t>One significant challenge was grasping the nuances of each measure and how they interrelate to improve patient outcomes. For instance, integrating measures such as the assessment of left ventricular function and patient education into a cohesive treatment plan demanded a careful balance between clinical judgment and adherence to guidelines.</w:t>
      </w:r>
    </w:p>
    <w:p w14:paraId="7560441E" w14:textId="77777777" w:rsidR="004114A5" w:rsidRPr="004114A5" w:rsidRDefault="004114A5" w:rsidP="004114A5">
      <w:pPr>
        <w:pStyle w:val="NormalWeb"/>
        <w:divId w:val="465317432"/>
        <w:rPr>
          <w:rFonts w:ascii="Arial" w:hAnsi="Arial" w:cs="Arial"/>
        </w:rPr>
      </w:pPr>
      <w:r w:rsidRPr="004114A5">
        <w:rPr>
          <w:rFonts w:ascii="Arial" w:hAnsi="Arial" w:cs="Arial"/>
        </w:rPr>
        <w:t>However, this learning process offered valuable insights. It underscored the importance of a multidisciplinary approach to heart failure management and highlighted how performance measures can drive quality improvement in patient care. I realized that adhering to these guidelines not only enhances patient outcomes but also fosters a structured approach to treatment that can be consistently applied across diverse clinical settings.</w:t>
      </w:r>
    </w:p>
    <w:p w14:paraId="09221FD9" w14:textId="77777777" w:rsidR="004114A5" w:rsidRPr="004114A5" w:rsidRDefault="004114A5" w:rsidP="004114A5">
      <w:pPr>
        <w:pStyle w:val="NormalWeb"/>
        <w:divId w:val="465317432"/>
        <w:rPr>
          <w:rFonts w:ascii="Arial" w:hAnsi="Arial" w:cs="Arial"/>
        </w:rPr>
      </w:pPr>
      <w:r w:rsidRPr="004114A5">
        <w:rPr>
          <w:rFonts w:ascii="Arial" w:hAnsi="Arial" w:cs="Arial"/>
        </w:rPr>
        <w:t>Overall, the experience deepened my understanding of quality measures and their impact on clinical practice, reinforcing the necessity of continual learning and adaptation in the evolving field of heart failure management.</w:t>
      </w:r>
    </w:p>
    <w:p w14:paraId="1BBCFE56" w14:textId="30D85883" w:rsidR="00234B39" w:rsidRDefault="00234B39" w:rsidP="004114A5">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53BA8"/>
    <w:multiLevelType w:val="multilevel"/>
    <w:tmpl w:val="BD4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8477BB"/>
    <w:multiLevelType w:val="multilevel"/>
    <w:tmpl w:val="206E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E004D"/>
    <w:multiLevelType w:val="multilevel"/>
    <w:tmpl w:val="752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166A0"/>
    <w:multiLevelType w:val="multilevel"/>
    <w:tmpl w:val="85D4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45A5A"/>
    <w:multiLevelType w:val="multilevel"/>
    <w:tmpl w:val="12CA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75B41"/>
    <w:multiLevelType w:val="multilevel"/>
    <w:tmpl w:val="0CC2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083359"/>
    <w:multiLevelType w:val="multilevel"/>
    <w:tmpl w:val="3754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8858B5"/>
    <w:multiLevelType w:val="multilevel"/>
    <w:tmpl w:val="E1AC3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793960"/>
    <w:multiLevelType w:val="multilevel"/>
    <w:tmpl w:val="C4A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45B10"/>
    <w:multiLevelType w:val="multilevel"/>
    <w:tmpl w:val="732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53358"/>
    <w:multiLevelType w:val="multilevel"/>
    <w:tmpl w:val="F7A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909B0"/>
    <w:multiLevelType w:val="multilevel"/>
    <w:tmpl w:val="95CE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7B59F5"/>
    <w:multiLevelType w:val="multilevel"/>
    <w:tmpl w:val="B53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4100A"/>
    <w:multiLevelType w:val="multilevel"/>
    <w:tmpl w:val="EA92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528BA"/>
    <w:multiLevelType w:val="multilevel"/>
    <w:tmpl w:val="68C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511EF"/>
    <w:multiLevelType w:val="multilevel"/>
    <w:tmpl w:val="5FC0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4262D2"/>
    <w:multiLevelType w:val="multilevel"/>
    <w:tmpl w:val="9C66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C408B3"/>
    <w:multiLevelType w:val="multilevel"/>
    <w:tmpl w:val="F76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E2B13"/>
    <w:multiLevelType w:val="multilevel"/>
    <w:tmpl w:val="659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B936FA"/>
    <w:multiLevelType w:val="multilevel"/>
    <w:tmpl w:val="B97E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83C8F"/>
    <w:multiLevelType w:val="hybridMultilevel"/>
    <w:tmpl w:val="EFB48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CB1E9B"/>
    <w:multiLevelType w:val="multilevel"/>
    <w:tmpl w:val="AC76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23"/>
  </w:num>
  <w:num w:numId="2" w16cid:durableId="93328788">
    <w:abstractNumId w:val="18"/>
  </w:num>
  <w:num w:numId="3" w16cid:durableId="1505900044">
    <w:abstractNumId w:val="9"/>
  </w:num>
  <w:num w:numId="4" w16cid:durableId="1600867095">
    <w:abstractNumId w:val="6"/>
  </w:num>
  <w:num w:numId="5" w16cid:durableId="1401555978">
    <w:abstractNumId w:val="2"/>
  </w:num>
  <w:num w:numId="6" w16cid:durableId="1352875109">
    <w:abstractNumId w:val="13"/>
  </w:num>
  <w:num w:numId="7" w16cid:durableId="913197430">
    <w:abstractNumId w:val="12"/>
  </w:num>
  <w:num w:numId="8" w16cid:durableId="847720461">
    <w:abstractNumId w:val="0"/>
  </w:num>
  <w:num w:numId="9" w16cid:durableId="2001078825">
    <w:abstractNumId w:val="10"/>
  </w:num>
  <w:num w:numId="10" w16cid:durableId="1633048810">
    <w:abstractNumId w:val="8"/>
  </w:num>
  <w:num w:numId="11" w16cid:durableId="386535998">
    <w:abstractNumId w:val="17"/>
  </w:num>
  <w:num w:numId="12" w16cid:durableId="1062022094">
    <w:abstractNumId w:val="7"/>
  </w:num>
  <w:num w:numId="13" w16cid:durableId="1215435629">
    <w:abstractNumId w:val="28"/>
  </w:num>
  <w:num w:numId="14" w16cid:durableId="1285504863">
    <w:abstractNumId w:val="19"/>
  </w:num>
  <w:num w:numId="15" w16cid:durableId="356976686">
    <w:abstractNumId w:val="21"/>
  </w:num>
  <w:num w:numId="16" w16cid:durableId="368576728">
    <w:abstractNumId w:val="1"/>
  </w:num>
  <w:num w:numId="17" w16cid:durableId="2123761800">
    <w:abstractNumId w:val="29"/>
  </w:num>
  <w:num w:numId="18" w16cid:durableId="1719089802">
    <w:abstractNumId w:val="11"/>
  </w:num>
  <w:num w:numId="19" w16cid:durableId="1313096553">
    <w:abstractNumId w:val="14"/>
  </w:num>
  <w:num w:numId="20" w16cid:durableId="411464480">
    <w:abstractNumId w:val="16"/>
  </w:num>
  <w:num w:numId="21" w16cid:durableId="681392417">
    <w:abstractNumId w:val="25"/>
  </w:num>
  <w:num w:numId="22" w16cid:durableId="907616821">
    <w:abstractNumId w:val="27"/>
  </w:num>
  <w:num w:numId="23" w16cid:durableId="1863548215">
    <w:abstractNumId w:val="20"/>
  </w:num>
  <w:num w:numId="24" w16cid:durableId="835536763">
    <w:abstractNumId w:val="4"/>
  </w:num>
  <w:num w:numId="25" w16cid:durableId="1673945012">
    <w:abstractNumId w:val="26"/>
  </w:num>
  <w:num w:numId="26" w16cid:durableId="512958991">
    <w:abstractNumId w:val="24"/>
  </w:num>
  <w:num w:numId="27" w16cid:durableId="1588735178">
    <w:abstractNumId w:val="15"/>
  </w:num>
  <w:num w:numId="28" w16cid:durableId="656685413">
    <w:abstractNumId w:val="5"/>
  </w:num>
  <w:num w:numId="29" w16cid:durableId="300765635">
    <w:abstractNumId w:val="3"/>
  </w:num>
  <w:num w:numId="30" w16cid:durableId="16612291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F31B6"/>
    <w:rsid w:val="00234B39"/>
    <w:rsid w:val="004114A5"/>
    <w:rsid w:val="00433A80"/>
    <w:rsid w:val="0046607C"/>
    <w:rsid w:val="004D0344"/>
    <w:rsid w:val="005244B8"/>
    <w:rsid w:val="009D79D5"/>
    <w:rsid w:val="00A958D5"/>
    <w:rsid w:val="00B45D63"/>
    <w:rsid w:val="00C161B0"/>
    <w:rsid w:val="00C8762A"/>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71CB63A5-E045-4544-963D-786BD456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C87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41433847">
                  <w:marLeft w:val="0"/>
                  <w:marRight w:val="0"/>
                  <w:marTop w:val="0"/>
                  <w:marBottom w:val="0"/>
                  <w:divBdr>
                    <w:top w:val="none" w:sz="0" w:space="0" w:color="auto"/>
                    <w:left w:val="none" w:sz="0" w:space="0" w:color="auto"/>
                    <w:bottom w:val="none" w:sz="0" w:space="0" w:color="auto"/>
                    <w:right w:val="none" w:sz="0" w:space="0" w:color="auto"/>
                  </w:divBdr>
                </w:div>
                <w:div w:id="1702435750">
                  <w:marLeft w:val="0"/>
                  <w:marRight w:val="0"/>
                  <w:marTop w:val="0"/>
                  <w:marBottom w:val="0"/>
                  <w:divBdr>
                    <w:top w:val="none" w:sz="0" w:space="0" w:color="auto"/>
                    <w:left w:val="none" w:sz="0" w:space="0" w:color="auto"/>
                    <w:bottom w:val="none" w:sz="0" w:space="0" w:color="auto"/>
                    <w:right w:val="none" w:sz="0" w:space="0" w:color="auto"/>
                  </w:divBdr>
                </w:div>
                <w:div w:id="1711569415">
                  <w:marLeft w:val="0"/>
                  <w:marRight w:val="0"/>
                  <w:marTop w:val="0"/>
                  <w:marBottom w:val="0"/>
                  <w:divBdr>
                    <w:top w:val="none" w:sz="0" w:space="0" w:color="auto"/>
                    <w:left w:val="none" w:sz="0" w:space="0" w:color="auto"/>
                    <w:bottom w:val="none" w:sz="0" w:space="0" w:color="auto"/>
                    <w:right w:val="none" w:sz="0" w:space="0" w:color="auto"/>
                  </w:divBdr>
                </w:div>
                <w:div w:id="2143571489">
                  <w:marLeft w:val="0"/>
                  <w:marRight w:val="0"/>
                  <w:marTop w:val="0"/>
                  <w:marBottom w:val="0"/>
                  <w:divBdr>
                    <w:top w:val="none" w:sz="0" w:space="0" w:color="auto"/>
                    <w:left w:val="none" w:sz="0" w:space="0" w:color="auto"/>
                    <w:bottom w:val="none" w:sz="0" w:space="0" w:color="auto"/>
                    <w:right w:val="none" w:sz="0" w:space="0" w:color="auto"/>
                  </w:divBdr>
                </w:div>
                <w:div w:id="389769948">
                  <w:marLeft w:val="0"/>
                  <w:marRight w:val="0"/>
                  <w:marTop w:val="0"/>
                  <w:marBottom w:val="0"/>
                  <w:divBdr>
                    <w:top w:val="none" w:sz="0" w:space="0" w:color="auto"/>
                    <w:left w:val="none" w:sz="0" w:space="0" w:color="auto"/>
                    <w:bottom w:val="none" w:sz="0" w:space="0" w:color="auto"/>
                    <w:right w:val="none" w:sz="0" w:space="0" w:color="auto"/>
                  </w:divBdr>
                </w:div>
                <w:div w:id="2067145325">
                  <w:marLeft w:val="0"/>
                  <w:marRight w:val="0"/>
                  <w:marTop w:val="0"/>
                  <w:marBottom w:val="0"/>
                  <w:divBdr>
                    <w:top w:val="none" w:sz="0" w:space="0" w:color="auto"/>
                    <w:left w:val="none" w:sz="0" w:space="0" w:color="auto"/>
                    <w:bottom w:val="none" w:sz="0" w:space="0" w:color="auto"/>
                    <w:right w:val="none" w:sz="0" w:space="0" w:color="auto"/>
                  </w:divBdr>
                </w:div>
                <w:div w:id="300237013">
                  <w:marLeft w:val="0"/>
                  <w:marRight w:val="0"/>
                  <w:marTop w:val="0"/>
                  <w:marBottom w:val="0"/>
                  <w:divBdr>
                    <w:top w:val="none" w:sz="0" w:space="0" w:color="auto"/>
                    <w:left w:val="none" w:sz="0" w:space="0" w:color="auto"/>
                    <w:bottom w:val="none" w:sz="0" w:space="0" w:color="auto"/>
                    <w:right w:val="none" w:sz="0" w:space="0" w:color="auto"/>
                  </w:divBdr>
                </w:div>
                <w:div w:id="189925461">
                  <w:marLeft w:val="0"/>
                  <w:marRight w:val="0"/>
                  <w:marTop w:val="0"/>
                  <w:marBottom w:val="0"/>
                  <w:divBdr>
                    <w:top w:val="none" w:sz="0" w:space="0" w:color="auto"/>
                    <w:left w:val="none" w:sz="0" w:space="0" w:color="auto"/>
                    <w:bottom w:val="none" w:sz="0" w:space="0" w:color="auto"/>
                    <w:right w:val="none" w:sz="0" w:space="0" w:color="auto"/>
                  </w:divBdr>
                </w:div>
                <w:div w:id="938951659">
                  <w:marLeft w:val="0"/>
                  <w:marRight w:val="0"/>
                  <w:marTop w:val="0"/>
                  <w:marBottom w:val="0"/>
                  <w:divBdr>
                    <w:top w:val="none" w:sz="0" w:space="0" w:color="auto"/>
                    <w:left w:val="none" w:sz="0" w:space="0" w:color="auto"/>
                    <w:bottom w:val="none" w:sz="0" w:space="0" w:color="auto"/>
                    <w:right w:val="none" w:sz="0" w:space="0" w:color="auto"/>
                  </w:divBdr>
                </w:div>
                <w:div w:id="249773438">
                  <w:marLeft w:val="0"/>
                  <w:marRight w:val="0"/>
                  <w:marTop w:val="0"/>
                  <w:marBottom w:val="0"/>
                  <w:divBdr>
                    <w:top w:val="none" w:sz="0" w:space="0" w:color="auto"/>
                    <w:left w:val="none" w:sz="0" w:space="0" w:color="auto"/>
                    <w:bottom w:val="none" w:sz="0" w:space="0" w:color="auto"/>
                    <w:right w:val="none" w:sz="0" w:space="0" w:color="auto"/>
                  </w:divBdr>
                </w:div>
                <w:div w:id="1626351793">
                  <w:marLeft w:val="0"/>
                  <w:marRight w:val="0"/>
                  <w:marTop w:val="0"/>
                  <w:marBottom w:val="0"/>
                  <w:divBdr>
                    <w:top w:val="none" w:sz="0" w:space="0" w:color="auto"/>
                    <w:left w:val="none" w:sz="0" w:space="0" w:color="auto"/>
                    <w:bottom w:val="none" w:sz="0" w:space="0" w:color="auto"/>
                    <w:right w:val="none" w:sz="0" w:space="0" w:color="auto"/>
                  </w:divBdr>
                </w:div>
                <w:div w:id="1904178381">
                  <w:marLeft w:val="0"/>
                  <w:marRight w:val="0"/>
                  <w:marTop w:val="0"/>
                  <w:marBottom w:val="0"/>
                  <w:divBdr>
                    <w:top w:val="none" w:sz="0" w:space="0" w:color="auto"/>
                    <w:left w:val="none" w:sz="0" w:space="0" w:color="auto"/>
                    <w:bottom w:val="none" w:sz="0" w:space="0" w:color="auto"/>
                    <w:right w:val="none" w:sz="0" w:space="0" w:color="auto"/>
                  </w:divBdr>
                </w:div>
                <w:div w:id="2129204485">
                  <w:marLeft w:val="0"/>
                  <w:marRight w:val="0"/>
                  <w:marTop w:val="0"/>
                  <w:marBottom w:val="0"/>
                  <w:divBdr>
                    <w:top w:val="none" w:sz="0" w:space="0" w:color="auto"/>
                    <w:left w:val="none" w:sz="0" w:space="0" w:color="auto"/>
                    <w:bottom w:val="none" w:sz="0" w:space="0" w:color="auto"/>
                    <w:right w:val="none" w:sz="0" w:space="0" w:color="auto"/>
                  </w:divBdr>
                </w:div>
                <w:div w:id="164637983">
                  <w:marLeft w:val="0"/>
                  <w:marRight w:val="0"/>
                  <w:marTop w:val="0"/>
                  <w:marBottom w:val="0"/>
                  <w:divBdr>
                    <w:top w:val="none" w:sz="0" w:space="0" w:color="auto"/>
                    <w:left w:val="none" w:sz="0" w:space="0" w:color="auto"/>
                    <w:bottom w:val="none" w:sz="0" w:space="0" w:color="auto"/>
                    <w:right w:val="none" w:sz="0" w:space="0" w:color="auto"/>
                  </w:divBdr>
                </w:div>
                <w:div w:id="1082141155">
                  <w:marLeft w:val="0"/>
                  <w:marRight w:val="0"/>
                  <w:marTop w:val="0"/>
                  <w:marBottom w:val="0"/>
                  <w:divBdr>
                    <w:top w:val="none" w:sz="0" w:space="0" w:color="auto"/>
                    <w:left w:val="none" w:sz="0" w:space="0" w:color="auto"/>
                    <w:bottom w:val="none" w:sz="0" w:space="0" w:color="auto"/>
                    <w:right w:val="none" w:sz="0" w:space="0" w:color="auto"/>
                  </w:divBdr>
                </w:div>
                <w:div w:id="1080953805">
                  <w:marLeft w:val="0"/>
                  <w:marRight w:val="0"/>
                  <w:marTop w:val="0"/>
                  <w:marBottom w:val="0"/>
                  <w:divBdr>
                    <w:top w:val="none" w:sz="0" w:space="0" w:color="auto"/>
                    <w:left w:val="none" w:sz="0" w:space="0" w:color="auto"/>
                    <w:bottom w:val="none" w:sz="0" w:space="0" w:color="auto"/>
                    <w:right w:val="none" w:sz="0" w:space="0" w:color="auto"/>
                  </w:divBdr>
                </w:div>
                <w:div w:id="1809980625">
                  <w:marLeft w:val="0"/>
                  <w:marRight w:val="0"/>
                  <w:marTop w:val="0"/>
                  <w:marBottom w:val="0"/>
                  <w:divBdr>
                    <w:top w:val="none" w:sz="0" w:space="0" w:color="auto"/>
                    <w:left w:val="none" w:sz="0" w:space="0" w:color="auto"/>
                    <w:bottom w:val="none" w:sz="0" w:space="0" w:color="auto"/>
                    <w:right w:val="none" w:sz="0" w:space="0" w:color="auto"/>
                  </w:divBdr>
                </w:div>
                <w:div w:id="1918007784">
                  <w:marLeft w:val="0"/>
                  <w:marRight w:val="0"/>
                  <w:marTop w:val="0"/>
                  <w:marBottom w:val="0"/>
                  <w:divBdr>
                    <w:top w:val="none" w:sz="0" w:space="0" w:color="auto"/>
                    <w:left w:val="none" w:sz="0" w:space="0" w:color="auto"/>
                    <w:bottom w:val="none" w:sz="0" w:space="0" w:color="auto"/>
                    <w:right w:val="none" w:sz="0" w:space="0" w:color="auto"/>
                  </w:divBdr>
                </w:div>
                <w:div w:id="348483353">
                  <w:marLeft w:val="0"/>
                  <w:marRight w:val="0"/>
                  <w:marTop w:val="0"/>
                  <w:marBottom w:val="0"/>
                  <w:divBdr>
                    <w:top w:val="none" w:sz="0" w:space="0" w:color="auto"/>
                    <w:left w:val="none" w:sz="0" w:space="0" w:color="auto"/>
                    <w:bottom w:val="none" w:sz="0" w:space="0" w:color="auto"/>
                    <w:right w:val="none" w:sz="0" w:space="0" w:color="auto"/>
                  </w:divBdr>
                </w:div>
                <w:div w:id="1794472651">
                  <w:marLeft w:val="0"/>
                  <w:marRight w:val="0"/>
                  <w:marTop w:val="0"/>
                  <w:marBottom w:val="0"/>
                  <w:divBdr>
                    <w:top w:val="none" w:sz="0" w:space="0" w:color="auto"/>
                    <w:left w:val="none" w:sz="0" w:space="0" w:color="auto"/>
                    <w:bottom w:val="none" w:sz="0" w:space="0" w:color="auto"/>
                    <w:right w:val="none" w:sz="0" w:space="0" w:color="auto"/>
                  </w:divBdr>
                </w:div>
              </w:divsChild>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NEHA RAVINDRA GANDHAM</cp:lastModifiedBy>
  <cp:revision>1</cp:revision>
  <dcterms:created xsi:type="dcterms:W3CDTF">2024-08-11T10:13:00Z</dcterms:created>
  <dcterms:modified xsi:type="dcterms:W3CDTF">2024-08-27T16:07:00Z</dcterms:modified>
</cp:coreProperties>
</file>