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C68573" wp14:paraId="3D156CCE" wp14:textId="5ABC7F05">
      <w:pPr>
        <w:pStyle w:val="Normal"/>
        <w:jc w:val="center"/>
      </w:pPr>
    </w:p>
    <w:p xmlns:wp14="http://schemas.microsoft.com/office/word/2010/wordml" w:rsidP="24C68573" wp14:paraId="7D5DDC60" wp14:textId="4B95F800">
      <w:pPr>
        <w:pStyle w:val="Normal"/>
        <w:jc w:val="center"/>
      </w:pPr>
    </w:p>
    <w:p xmlns:wp14="http://schemas.microsoft.com/office/word/2010/wordml" w:rsidP="24C68573" wp14:paraId="75DC0153" wp14:textId="0EC2556E">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r w:rsidR="5C9A5F32">
        <w:drawing>
          <wp:inline xmlns:wp14="http://schemas.microsoft.com/office/word/2010/wordprocessingDrawing" wp14:editId="0FAFD7CD" wp14:anchorId="74159CBD">
            <wp:extent cx="1737360" cy="1031215"/>
            <wp:effectExtent l="0" t="0" r="0" b="0"/>
            <wp:docPr id="29043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459914" name="Picture 1041459914"/>
                    <pic:cNvPicPr/>
                  </pic:nvPicPr>
                  <pic:blipFill>
                    <a:blip xmlns:r="http://schemas.openxmlformats.org/officeDocument/2006/relationships" r:embed="rId957734034">
                      <a:extLst>
                        <a:ext uri="{28A0092B-C50C-407E-A947-70E740481C1C}">
                          <a14:useLocalDpi xmlns:a14="http://schemas.microsoft.com/office/drawing/2010/main"/>
                        </a:ext>
                      </a:extLst>
                    </a:blip>
                    <a:srcRect l="13646" t="27069" r="17002" b="31767"/>
                    <a:stretch>
                      <a:fillRect/>
                    </a:stretch>
                  </pic:blipFill>
                  <pic:spPr>
                    <a:xfrm rot="0">
                      <a:off x="0" y="0"/>
                      <a:ext cx="1737360" cy="1031215"/>
                    </a:xfrm>
                    <a:prstGeom prst="rect">
                      <a:avLst/>
                    </a:prstGeom>
                  </pic:spPr>
                </pic:pic>
              </a:graphicData>
            </a:graphic>
          </wp:inline>
        </w:drawing>
      </w:r>
    </w:p>
    <w:p xmlns:wp14="http://schemas.microsoft.com/office/word/2010/wordml" w:rsidP="24C68573" wp14:paraId="121A75D5" wp14:textId="2D5C605F">
      <w:pPr>
        <w:pStyle w:val="Normal"/>
        <w:jc w:val="center"/>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p>
    <w:p xmlns:wp14="http://schemas.microsoft.com/office/word/2010/wordml" w:rsidP="24C68573" wp14:paraId="4ECE6191" wp14:textId="240F7152">
      <w:pPr>
        <w:pStyle w:val="Normal"/>
        <w:jc w:val="center"/>
        <w:rPr>
          <w:rFonts w:ascii="Times New Roman" w:hAnsi="Times New Roman" w:eastAsia="Times New Roman" w:cs="Times New Roman" w:asciiTheme="minorAscii" w:hAnsiTheme="minorAscii" w:eastAsiaTheme="minorAscii" w:cstheme="minorAscii"/>
          <w:b w:val="1"/>
          <w:bCs w:val="1"/>
          <w:noProof w:val="0"/>
          <w:sz w:val="48"/>
          <w:szCs w:val="48"/>
          <w:lang w:val="en-US"/>
        </w:rPr>
      </w:pPr>
      <w:r w:rsidRPr="24C68573" w:rsidR="31F903FF">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AI-based predictions for drug targets for   antibiotic resistance proteins</w:t>
      </w:r>
      <w:r w:rsidRPr="24C68573" w:rsidR="31F903FF">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w:t>
      </w:r>
      <w:r w:rsidRPr="24C68573" w:rsidR="31F903FF">
        <w:rPr>
          <w:rFonts w:ascii="Times New Roman" w:hAnsi="Times New Roman" w:eastAsia="Times New Roman" w:cs="Times New Roman" w:asciiTheme="minorAscii" w:hAnsiTheme="minorAscii" w:eastAsiaTheme="minorAscii" w:cstheme="minorAscii"/>
          <w:b w:val="1"/>
          <w:bCs w:val="1"/>
          <w:noProof w:val="0"/>
          <w:sz w:val="48"/>
          <w:szCs w:val="48"/>
          <w:lang w:val="en-US"/>
        </w:rPr>
        <w:t xml:space="preserve"> multidrug efflux pumps in </w:t>
      </w:r>
      <w:r w:rsidRPr="24C68573" w:rsidR="31F903FF">
        <w:rPr>
          <w:rFonts w:ascii="Times New Roman" w:hAnsi="Times New Roman" w:eastAsia="Times New Roman" w:cs="Times New Roman" w:asciiTheme="minorAscii" w:hAnsiTheme="minorAscii" w:eastAsiaTheme="minorAscii" w:cstheme="minorAscii"/>
          <w:b w:val="1"/>
          <w:bCs w:val="1"/>
          <w:i w:val="1"/>
          <w:iCs w:val="1"/>
          <w:caps w:val="0"/>
          <w:smallCaps w:val="0"/>
          <w:noProof w:val="0"/>
          <w:color w:val="1B1B1B"/>
          <w:sz w:val="48"/>
          <w:szCs w:val="48"/>
          <w:lang w:val="en-US"/>
        </w:rPr>
        <w:t>Pseudomonas aeruginosa</w:t>
      </w:r>
    </w:p>
    <w:p xmlns:wp14="http://schemas.microsoft.com/office/word/2010/wordml" w:rsidP="24C68573" wp14:paraId="22008D26" wp14:textId="29C9F39D">
      <w:pPr>
        <w:pStyle w:val="Normal"/>
        <w:jc w:val="center"/>
      </w:pPr>
      <w:r w:rsidRPr="24C68573" w:rsidR="31F903FF">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By</w:t>
      </w:r>
      <w:r w:rsidRPr="24C68573" w:rsidR="31F903FF">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-Nehashree.V</w:t>
      </w:r>
    </w:p>
    <w:p xmlns:wp14="http://schemas.microsoft.com/office/word/2010/wordml" w:rsidP="24C68573" wp14:paraId="7FD14EE4" wp14:textId="6000B19E">
      <w:pPr>
        <w:pStyle w:val="Normal"/>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p>
    <w:p xmlns:wp14="http://schemas.microsoft.com/office/word/2010/wordml" w:rsidP="24C68573" wp14:paraId="5D1F00BA" wp14:textId="57401D3F">
      <w:pPr>
        <w:pStyle w:val="Normal"/>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p>
    <w:p xmlns:wp14="http://schemas.microsoft.com/office/word/2010/wordml" w:rsidP="24C68573" wp14:paraId="508BD88A" wp14:textId="3135618D">
      <w:pPr>
        <w:pStyle w:val="Normal"/>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p>
    <w:p xmlns:wp14="http://schemas.microsoft.com/office/word/2010/wordml" w:rsidP="24C68573" wp14:paraId="15647B47" wp14:textId="1683E343">
      <w:pPr>
        <w:pStyle w:val="Normal"/>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p>
    <w:p xmlns:wp14="http://schemas.microsoft.com/office/word/2010/wordml" w:rsidP="24C68573" wp14:paraId="24B2135F" wp14:textId="44633FA7">
      <w:pPr>
        <w:pStyle w:val="Normal"/>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p>
    <w:p xmlns:wp14="http://schemas.microsoft.com/office/word/2010/wordml" w:rsidP="24C68573" wp14:paraId="29E61BB9" wp14:textId="552E5EB9">
      <w:pPr>
        <w:pStyle w:val="Normal"/>
        <w:jc w:val="center"/>
      </w:pPr>
      <w:r w:rsidRPr="24C68573" w:rsidR="49C5B1E6">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MSc. Biotechnology</w:t>
      </w:r>
      <w:r w:rsidRPr="24C68573" w:rsidR="6AE0320D">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 xml:space="preserve"> </w:t>
      </w:r>
      <w:r w:rsidRPr="24C68573" w:rsidR="0F419648">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 xml:space="preserve">(Jain </w:t>
      </w:r>
      <w:r w:rsidRPr="24C68573" w:rsidR="0CD85919">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University</w:t>
      </w:r>
      <w:r w:rsidRPr="24C68573" w:rsidR="0F419648">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w:t>
      </w:r>
      <w:r w:rsidRPr="24C68573" w:rsidR="241CF912">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w:t>
      </w:r>
    </w:p>
    <w:p xmlns:wp14="http://schemas.microsoft.com/office/word/2010/wordml" w:rsidP="24C68573" wp14:paraId="037D5EAB" wp14:textId="38001B63">
      <w:pPr>
        <w:pStyle w:val="Normal"/>
        <w:jc w:val="center"/>
      </w:pPr>
      <w:r w:rsidRPr="24C68573" w:rsidR="241CF912">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Advanced diploma in Bioinformatics</w:t>
      </w:r>
      <w:r w:rsidRPr="24C68573" w:rsidR="0883928B">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 xml:space="preserve"> </w:t>
      </w:r>
      <w:r w:rsidRPr="24C68573" w:rsidR="0883928B">
        <w:rPr>
          <w:rFonts w:ascii="Times New Roman" w:hAnsi="Times New Roman" w:eastAsia="Times New Roman" w:cs="Times New Roman" w:asciiTheme="minorAscii" w:hAnsiTheme="minorAscii" w:eastAsiaTheme="minorAscii" w:cstheme="minorAscii"/>
          <w:b w:val="1"/>
          <w:bCs w:val="1"/>
          <w:noProof w:val="0"/>
          <w:color w:val="auto"/>
          <w:sz w:val="40"/>
          <w:szCs w:val="40"/>
          <w:lang w:val="en-US"/>
        </w:rPr>
        <w:t>(LLRI)</w:t>
      </w:r>
    </w:p>
    <w:p xmlns:wp14="http://schemas.microsoft.com/office/word/2010/wordml" w:rsidP="24C68573" wp14:paraId="66CA28A2" wp14:textId="3E002E4E">
      <w:pPr>
        <w:pStyle w:val="Normal"/>
        <w:jc w:val="center"/>
      </w:pPr>
      <w:r w:rsidRPr="24C68573" w:rsidR="44210C95">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September 24 2026</w:t>
      </w:r>
    </w:p>
    <w:p xmlns:wp14="http://schemas.microsoft.com/office/word/2010/wordml" w:rsidP="57AF9593" wp14:paraId="2C078E63" wp14:textId="21A8C523">
      <w:pPr>
        <w:pStyle w:val="Normal"/>
        <w:rPr>
          <w:rFonts w:ascii="Times New Roman" w:hAnsi="Times New Roman" w:eastAsia="Times New Roman" w:cs="Times New Roman" w:asciiTheme="minorAscii" w:hAnsiTheme="minorAscii" w:eastAsiaTheme="minorAscii" w:cstheme="minorAscii"/>
          <w:b w:val="1"/>
          <w:bCs w:val="1"/>
          <w:noProof w:val="0"/>
          <w:sz w:val="48"/>
          <w:szCs w:val="48"/>
          <w:lang w:val="en-US"/>
        </w:rPr>
      </w:pPr>
      <w:r w:rsidRPr="24C68573" w:rsidR="75BA86DB">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AI-based predictions for drug targets for antibiotic resistance proteins</w:t>
      </w:r>
      <w:r w:rsidRPr="24C68573" w:rsidR="18C36E30">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w:t>
      </w:r>
      <w:r w:rsidRPr="24C68573" w:rsidR="18C36E30">
        <w:rPr>
          <w:rFonts w:ascii="Times New Roman" w:hAnsi="Times New Roman" w:eastAsia="Times New Roman" w:cs="Times New Roman" w:asciiTheme="minorAscii" w:hAnsiTheme="minorAscii" w:eastAsiaTheme="minorAscii" w:cstheme="minorAscii"/>
          <w:b w:val="1"/>
          <w:bCs w:val="1"/>
          <w:noProof w:val="0"/>
          <w:sz w:val="48"/>
          <w:szCs w:val="48"/>
          <w:lang w:val="en-US"/>
        </w:rPr>
        <w:t xml:space="preserve"> multidrug efflux pumps</w:t>
      </w:r>
      <w:r w:rsidRPr="24C68573" w:rsidR="37CE0ECC">
        <w:rPr>
          <w:rFonts w:ascii="Times New Roman" w:hAnsi="Times New Roman" w:eastAsia="Times New Roman" w:cs="Times New Roman" w:asciiTheme="minorAscii" w:hAnsiTheme="minorAscii" w:eastAsiaTheme="minorAscii" w:cstheme="minorAscii"/>
          <w:b w:val="1"/>
          <w:bCs w:val="1"/>
          <w:noProof w:val="0"/>
          <w:sz w:val="48"/>
          <w:szCs w:val="48"/>
          <w:lang w:val="en-US"/>
        </w:rPr>
        <w:t xml:space="preserve"> in </w:t>
      </w:r>
      <w:r w:rsidRPr="24C68573" w:rsidR="37CE0ECC">
        <w:rPr>
          <w:rFonts w:ascii="Times New Roman" w:hAnsi="Times New Roman" w:eastAsia="Times New Roman" w:cs="Times New Roman" w:asciiTheme="minorAscii" w:hAnsiTheme="minorAscii" w:eastAsiaTheme="minorAscii" w:cstheme="minorAscii"/>
          <w:b w:val="1"/>
          <w:bCs w:val="1"/>
          <w:i w:val="1"/>
          <w:iCs w:val="1"/>
          <w:caps w:val="0"/>
          <w:smallCaps w:val="0"/>
          <w:noProof w:val="0"/>
          <w:color w:val="1B1B1B"/>
          <w:sz w:val="48"/>
          <w:szCs w:val="48"/>
          <w:lang w:val="en-US"/>
        </w:rPr>
        <w:t>Pseudomonas aeruginosa</w:t>
      </w:r>
    </w:p>
    <w:p w:rsidR="57AF9593" w:rsidP="40EE1397" w:rsidRDefault="57AF9593" w14:paraId="3A73EFC8" w14:textId="15D622E1">
      <w:pPr>
        <w:pStyle w:val="Heading1"/>
        <w:bidi w:val="0"/>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r w:rsidRPr="40EE1397" w:rsidR="6237EB33">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Abstract</w:t>
      </w:r>
    </w:p>
    <w:p w:rsidR="57AF9593" w:rsidP="40EE1397" w:rsidRDefault="57AF9593" w14:paraId="2207C0F7" w14:textId="628FB803">
      <w:pPr>
        <w:bidi w:val="0"/>
        <w:spacing w:before="240" w:beforeAutospacing="off" w:after="240" w:afterAutospacing="off"/>
        <w:jc w:val="left"/>
      </w:pPr>
      <w:r w:rsidRPr="40EE1397" w:rsidR="6237EB33">
        <w:rPr>
          <w:rFonts w:ascii="Times New Roman" w:hAnsi="Times New Roman" w:eastAsia="Times New Roman" w:cs="Times New Roman"/>
          <w:noProof w:val="0"/>
          <w:sz w:val="24"/>
          <w:szCs w:val="24"/>
          <w:lang w:val="en-US"/>
        </w:rPr>
        <w:t xml:space="preserve">Multidrug efflux pumps are major contributors to antibiotic resistance in </w:t>
      </w:r>
      <w:r w:rsidRPr="40EE1397" w:rsidR="6237EB33">
        <w:rPr>
          <w:rFonts w:ascii="Times New Roman" w:hAnsi="Times New Roman" w:eastAsia="Times New Roman" w:cs="Times New Roman"/>
          <w:i w:val="1"/>
          <w:iCs w:val="1"/>
          <w:noProof w:val="0"/>
          <w:sz w:val="24"/>
          <w:szCs w:val="24"/>
          <w:lang w:val="en-US"/>
        </w:rPr>
        <w:t>Pseudomonas aeruginosa</w:t>
      </w:r>
      <w:r w:rsidRPr="40EE1397" w:rsidR="6237EB33">
        <w:rPr>
          <w:rFonts w:ascii="Times New Roman" w:hAnsi="Times New Roman" w:eastAsia="Times New Roman" w:cs="Times New Roman"/>
          <w:noProof w:val="0"/>
          <w:sz w:val="24"/>
          <w:szCs w:val="24"/>
          <w:lang w:val="en-US"/>
        </w:rPr>
        <w:t xml:space="preserve">, making their inhibition an important strategy for improving antimicrobial efficacy. </w:t>
      </w:r>
      <w:r w:rsidRPr="40EE1397" w:rsidR="6237EB33">
        <w:rPr>
          <w:rFonts w:ascii="Times New Roman" w:hAnsi="Times New Roman" w:eastAsia="Times New Roman" w:cs="Times New Roman"/>
          <w:noProof w:val="0"/>
          <w:sz w:val="24"/>
          <w:szCs w:val="24"/>
          <w:lang w:val="en-US"/>
        </w:rPr>
        <w:t>MexB</w:t>
      </w:r>
      <w:r w:rsidRPr="40EE1397" w:rsidR="6237EB33">
        <w:rPr>
          <w:rFonts w:ascii="Times New Roman" w:hAnsi="Times New Roman" w:eastAsia="Times New Roman" w:cs="Times New Roman"/>
          <w:noProof w:val="0"/>
          <w:sz w:val="24"/>
          <w:szCs w:val="24"/>
          <w:lang w:val="en-US"/>
        </w:rPr>
        <w:t xml:space="preserve">, the inner-membrane </w:t>
      </w:r>
      <w:r w:rsidRPr="40EE1397" w:rsidR="6237EB33">
        <w:rPr>
          <w:rFonts w:ascii="Times New Roman" w:hAnsi="Times New Roman" w:eastAsia="Times New Roman" w:cs="Times New Roman"/>
          <w:noProof w:val="0"/>
          <w:sz w:val="24"/>
          <w:szCs w:val="24"/>
          <w:lang w:val="en-US"/>
        </w:rPr>
        <w:t>component</w:t>
      </w:r>
      <w:r w:rsidRPr="40EE1397" w:rsidR="6237EB33">
        <w:rPr>
          <w:rFonts w:ascii="Times New Roman" w:hAnsi="Times New Roman" w:eastAsia="Times New Roman" w:cs="Times New Roman"/>
          <w:noProof w:val="0"/>
          <w:sz w:val="24"/>
          <w:szCs w:val="24"/>
          <w:lang w:val="en-US"/>
        </w:rPr>
        <w:t xml:space="preserve"> of the </w:t>
      </w:r>
      <w:r w:rsidRPr="40EE1397" w:rsidR="6237EB33">
        <w:rPr>
          <w:rFonts w:ascii="Times New Roman" w:hAnsi="Times New Roman" w:eastAsia="Times New Roman" w:cs="Times New Roman"/>
          <w:noProof w:val="0"/>
          <w:sz w:val="24"/>
          <w:szCs w:val="24"/>
          <w:lang w:val="en-US"/>
        </w:rPr>
        <w:t>MexAB-OprM</w:t>
      </w:r>
      <w:r w:rsidRPr="40EE1397" w:rsidR="6237EB33">
        <w:rPr>
          <w:rFonts w:ascii="Times New Roman" w:hAnsi="Times New Roman" w:eastAsia="Times New Roman" w:cs="Times New Roman"/>
          <w:noProof w:val="0"/>
          <w:sz w:val="24"/>
          <w:szCs w:val="24"/>
          <w:lang w:val="en-US"/>
        </w:rPr>
        <w:t xml:space="preserve"> resistance-nodulation-division (RND) efflux system, </w:t>
      </w:r>
      <w:r w:rsidRPr="40EE1397" w:rsidR="6237EB33">
        <w:rPr>
          <w:rFonts w:ascii="Times New Roman" w:hAnsi="Times New Roman" w:eastAsia="Times New Roman" w:cs="Times New Roman"/>
          <w:noProof w:val="0"/>
          <w:sz w:val="24"/>
          <w:szCs w:val="24"/>
          <w:lang w:val="en-US"/>
        </w:rPr>
        <w:t>contains</w:t>
      </w:r>
      <w:r w:rsidRPr="40EE1397" w:rsidR="6237EB33">
        <w:rPr>
          <w:rFonts w:ascii="Times New Roman" w:hAnsi="Times New Roman" w:eastAsia="Times New Roman" w:cs="Times New Roman"/>
          <w:noProof w:val="0"/>
          <w:sz w:val="24"/>
          <w:szCs w:val="24"/>
          <w:lang w:val="en-US"/>
        </w:rPr>
        <w:t xml:space="preserve"> structurally distinct drug-binding regions that accommodate chemically diverse compounds (Murakami et al., 2006; Du et al., 2015). The present study employed a structure-based computational approach to characterize the drug-binding pocket (DBP) of </w:t>
      </w:r>
      <w:r w:rsidRPr="40EE1397" w:rsidR="6237EB33">
        <w:rPr>
          <w:rFonts w:ascii="Times New Roman" w:hAnsi="Times New Roman" w:eastAsia="Times New Roman" w:cs="Times New Roman"/>
          <w:noProof w:val="0"/>
          <w:sz w:val="24"/>
          <w:szCs w:val="24"/>
          <w:lang w:val="en-US"/>
        </w:rPr>
        <w:t>MexB</w:t>
      </w:r>
      <w:r w:rsidRPr="40EE1397" w:rsidR="6237EB33">
        <w:rPr>
          <w:rFonts w:ascii="Times New Roman" w:hAnsi="Times New Roman" w:eastAsia="Times New Roman" w:cs="Times New Roman"/>
          <w:noProof w:val="0"/>
          <w:sz w:val="24"/>
          <w:szCs w:val="24"/>
          <w:lang w:val="en-US"/>
        </w:rPr>
        <w:t xml:space="preserve"> and </w:t>
      </w:r>
      <w:r w:rsidRPr="40EE1397" w:rsidR="6237EB33">
        <w:rPr>
          <w:rFonts w:ascii="Times New Roman" w:hAnsi="Times New Roman" w:eastAsia="Times New Roman" w:cs="Times New Roman"/>
          <w:noProof w:val="0"/>
          <w:sz w:val="24"/>
          <w:szCs w:val="24"/>
          <w:lang w:val="en-US"/>
        </w:rPr>
        <w:t>identify</w:t>
      </w:r>
      <w:r w:rsidRPr="40EE1397" w:rsidR="6237EB33">
        <w:rPr>
          <w:rFonts w:ascii="Times New Roman" w:hAnsi="Times New Roman" w:eastAsia="Times New Roman" w:cs="Times New Roman"/>
          <w:noProof w:val="0"/>
          <w:sz w:val="24"/>
          <w:szCs w:val="24"/>
          <w:lang w:val="en-US"/>
        </w:rPr>
        <w:t xml:space="preserve"> potential ligand-binding candidates. The </w:t>
      </w:r>
      <w:r w:rsidRPr="40EE1397" w:rsidR="6237EB33">
        <w:rPr>
          <w:rFonts w:ascii="Times New Roman" w:hAnsi="Times New Roman" w:eastAsia="Times New Roman" w:cs="Times New Roman"/>
          <w:noProof w:val="0"/>
          <w:sz w:val="24"/>
          <w:szCs w:val="24"/>
          <w:lang w:val="en-US"/>
        </w:rPr>
        <w:t>MexB</w:t>
      </w:r>
      <w:r w:rsidRPr="40EE1397" w:rsidR="6237EB33">
        <w:rPr>
          <w:rFonts w:ascii="Times New Roman" w:hAnsi="Times New Roman" w:eastAsia="Times New Roman" w:cs="Times New Roman"/>
          <w:noProof w:val="0"/>
          <w:sz w:val="24"/>
          <w:szCs w:val="24"/>
          <w:lang w:val="en-US"/>
        </w:rPr>
        <w:t xml:space="preserve"> binding-state structure was prepared and analyzed using structural alignment and pocket-prediction methods, with P2Rank used to </w:t>
      </w:r>
      <w:r w:rsidRPr="40EE1397" w:rsidR="6237EB33">
        <w:rPr>
          <w:rFonts w:ascii="Times New Roman" w:hAnsi="Times New Roman" w:eastAsia="Times New Roman" w:cs="Times New Roman"/>
          <w:noProof w:val="0"/>
          <w:sz w:val="24"/>
          <w:szCs w:val="24"/>
          <w:lang w:val="en-US"/>
        </w:rPr>
        <w:t>identify</w:t>
      </w:r>
      <w:r w:rsidRPr="40EE1397" w:rsidR="6237EB33">
        <w:rPr>
          <w:rFonts w:ascii="Times New Roman" w:hAnsi="Times New Roman" w:eastAsia="Times New Roman" w:cs="Times New Roman"/>
          <w:noProof w:val="0"/>
          <w:sz w:val="24"/>
          <w:szCs w:val="24"/>
          <w:lang w:val="en-US"/>
        </w:rPr>
        <w:t xml:space="preserve"> candidate ligand-binding regions (</w:t>
      </w:r>
      <w:r w:rsidRPr="40EE1397" w:rsidR="6237EB33">
        <w:rPr>
          <w:rFonts w:ascii="Times New Roman" w:hAnsi="Times New Roman" w:eastAsia="Times New Roman" w:cs="Times New Roman"/>
          <w:noProof w:val="0"/>
          <w:sz w:val="24"/>
          <w:szCs w:val="24"/>
          <w:lang w:val="en-US"/>
        </w:rPr>
        <w:t>Krivák</w:t>
      </w:r>
      <w:r w:rsidRPr="40EE1397" w:rsidR="6237EB33">
        <w:rPr>
          <w:rFonts w:ascii="Times New Roman" w:hAnsi="Times New Roman" w:eastAsia="Times New Roman" w:cs="Times New Roman"/>
          <w:noProof w:val="0"/>
          <w:sz w:val="24"/>
          <w:szCs w:val="24"/>
          <w:lang w:val="en-US"/>
        </w:rPr>
        <w:t xml:space="preserve"> and Hoksza, 2018). A docking grid was </w:t>
      </w:r>
      <w:r w:rsidRPr="40EE1397" w:rsidR="6237EB33">
        <w:rPr>
          <w:rFonts w:ascii="Times New Roman" w:hAnsi="Times New Roman" w:eastAsia="Times New Roman" w:cs="Times New Roman"/>
          <w:noProof w:val="0"/>
          <w:sz w:val="24"/>
          <w:szCs w:val="24"/>
          <w:lang w:val="en-US"/>
        </w:rPr>
        <w:t>subsequently</w:t>
      </w:r>
      <w:r w:rsidRPr="40EE1397" w:rsidR="6237EB33">
        <w:rPr>
          <w:rFonts w:ascii="Times New Roman" w:hAnsi="Times New Roman" w:eastAsia="Times New Roman" w:cs="Times New Roman"/>
          <w:noProof w:val="0"/>
          <w:sz w:val="24"/>
          <w:szCs w:val="24"/>
          <w:lang w:val="en-US"/>
        </w:rPr>
        <w:t xml:space="preserve"> defined around the selected deep binding pocket, and 30 </w:t>
      </w:r>
      <w:r w:rsidRPr="40EE1397" w:rsidR="6237EB33">
        <w:rPr>
          <w:rFonts w:ascii="Times New Roman" w:hAnsi="Times New Roman" w:eastAsia="Times New Roman" w:cs="Times New Roman"/>
          <w:noProof w:val="0"/>
          <w:sz w:val="24"/>
          <w:szCs w:val="24"/>
          <w:lang w:val="en-US"/>
        </w:rPr>
        <w:t>ChEMBL</w:t>
      </w:r>
      <w:r w:rsidRPr="40EE1397" w:rsidR="6237EB33">
        <w:rPr>
          <w:rFonts w:ascii="Times New Roman" w:hAnsi="Times New Roman" w:eastAsia="Times New Roman" w:cs="Times New Roman"/>
          <w:noProof w:val="0"/>
          <w:sz w:val="24"/>
          <w:szCs w:val="24"/>
          <w:lang w:val="en-US"/>
        </w:rPr>
        <w:t xml:space="preserve">-derived ligands were screened using </w:t>
      </w:r>
      <w:r w:rsidRPr="40EE1397" w:rsidR="6237EB33">
        <w:rPr>
          <w:rFonts w:ascii="Times New Roman" w:hAnsi="Times New Roman" w:eastAsia="Times New Roman" w:cs="Times New Roman"/>
          <w:noProof w:val="0"/>
          <w:sz w:val="24"/>
          <w:szCs w:val="24"/>
          <w:lang w:val="en-US"/>
        </w:rPr>
        <w:t>AutoDock</w:t>
      </w:r>
      <w:r w:rsidRPr="40EE1397" w:rsidR="6237EB33">
        <w:rPr>
          <w:rFonts w:ascii="Times New Roman" w:hAnsi="Times New Roman" w:eastAsia="Times New Roman" w:cs="Times New Roman"/>
          <w:noProof w:val="0"/>
          <w:sz w:val="24"/>
          <w:szCs w:val="24"/>
          <w:lang w:val="en-US"/>
        </w:rPr>
        <w:t xml:space="preserve"> Vina (Eberhardt et al., 2021). </w:t>
      </w:r>
    </w:p>
    <w:p w:rsidR="57AF9593" w:rsidP="40EE1397" w:rsidRDefault="57AF9593" w14:paraId="3C155468" w14:textId="37BC392F">
      <w:pPr>
        <w:bidi w:val="0"/>
        <w:spacing w:before="240" w:beforeAutospacing="off" w:after="240" w:afterAutospacing="off"/>
        <w:jc w:val="left"/>
        <w:rPr>
          <w:rFonts w:ascii="Times New Roman" w:hAnsi="Times New Roman" w:eastAsia="Times New Roman" w:cs="Times New Roman"/>
          <w:noProof w:val="0"/>
          <w:sz w:val="24"/>
          <w:szCs w:val="24"/>
          <w:lang w:val="en-US"/>
        </w:rPr>
      </w:pPr>
      <w:r w:rsidRPr="40EE1397" w:rsidR="6237EB33">
        <w:rPr>
          <w:rFonts w:ascii="Times New Roman" w:hAnsi="Times New Roman" w:eastAsia="Times New Roman" w:cs="Times New Roman"/>
          <w:noProof w:val="0"/>
          <w:sz w:val="24"/>
          <w:szCs w:val="24"/>
          <w:lang w:val="en-US"/>
        </w:rPr>
        <w:t>The five highest-scoring predicted ligands showed docking affinities ranging from −10.44 to −12.90 kcal/mol. Interaction analysis identified six recurrent DBP residues</w:t>
      </w:r>
      <w:r w:rsidRPr="40EE1397" w:rsidR="0BCCA5DE">
        <w:rPr>
          <w:rFonts w:ascii="Times New Roman" w:hAnsi="Times New Roman" w:eastAsia="Times New Roman" w:cs="Times New Roman"/>
          <w:noProof w:val="0"/>
          <w:sz w:val="24"/>
          <w:szCs w:val="24"/>
          <w:lang w:val="en-US"/>
        </w:rPr>
        <w:t xml:space="preserve"> </w:t>
      </w:r>
      <w:r w:rsidRPr="40EE1397" w:rsidR="6237EB33">
        <w:rPr>
          <w:rFonts w:ascii="Times New Roman" w:hAnsi="Times New Roman" w:eastAsia="Times New Roman" w:cs="Times New Roman"/>
          <w:noProof w:val="0"/>
          <w:sz w:val="24"/>
          <w:szCs w:val="24"/>
          <w:lang w:val="en-US"/>
        </w:rPr>
        <w:t>PHE178, VAL139, TYR327, PHE573, PHE610, and PHE628 which were used as a structural contact signature for further validation. All five predicted top ligands showed heavy-atom distances of ≤4 Å from all six core residues. To assess whether the selected pocket was also compatible with experimentally characterized compounds, four reference ligands were independently docked. Three of the four reference compounds contacted five or six of the six core residues, while one contacted four residues. The aromatic-rich nature of the identified region is consistent with previous structural studies describing a phenylalanine-rich drug-binding environment within the MexB distal pocket (Nakashima et al., 2013). Overall, the results provide computational evidence supporting the selected MexB DBP as a recurrent ligand-interaction region and identify candidate compounds for further investigation. However, docking scores and distance-based contacts represent computational predictions and do not establish experimental binding affinity or efflux-inhibition activity; biochemical, cellular, molecular-dynamics, or other experimental validation would therefore be required to confirm the predicted interactions (Eberhardt et al., 2021).</w:t>
      </w:r>
    </w:p>
    <w:p w:rsidR="57AF9593" w:rsidP="40EE1397" w:rsidRDefault="57AF9593" w14:paraId="4746DF9B" w14:textId="6A863ED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6"/>
          <w:szCs w:val="36"/>
          <w:lang w:val="en-US"/>
        </w:rPr>
      </w:pPr>
    </w:p>
    <w:p w:rsidR="57AF9593" w:rsidP="40EE1397" w:rsidRDefault="57AF9593" w14:paraId="6349E392" w14:textId="71ED352E">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40EE1397" w:rsidR="7B0C96E1">
        <w:rPr>
          <w:rFonts w:ascii="Times New Roman" w:hAnsi="Times New Roman" w:eastAsia="Times New Roman" w:cs="Times New Roman"/>
          <w:b w:val="1"/>
          <w:bCs w:val="1"/>
          <w:noProof w:val="0"/>
          <w:color w:val="auto"/>
          <w:sz w:val="48"/>
          <w:szCs w:val="48"/>
          <w:lang w:val="en-US"/>
        </w:rPr>
        <w:t>1. INTRODUCTION</w:t>
      </w:r>
    </w:p>
    <w:p w:rsidR="57AF9593" w:rsidP="40EE1397" w:rsidRDefault="57AF9593" w14:paraId="4E5B8A26" w14:textId="25FA14BE">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Antimicrobial resistance (AMR) has emerged as one of the major challenges affecting the effective treatment of bacterial infections. The continued and inappropriate use of antibiotics has contributed to the selection and dissemination of resistant microorganisms, reducing the effectiveness of several commonly used antimicrobial agents. The development of multidrug-resistant bacteria is particularly concerning because resistance to multiple antibiotic classes can substantially restrict available therapeutic options. Consequently, the identification of new antibacterial targets and the development of alternative strategies for overcoming bacterial resistance have become important areas of biomedical research.</w:t>
      </w:r>
    </w:p>
    <w:p w:rsidR="57AF9593" w:rsidP="40EE1397" w:rsidRDefault="57AF9593" w14:paraId="7ED2EAD0" w14:textId="7D460DCC">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Bacteria employ several mechanisms to survive exposure to antimicrobial compounds. These include enzymatic inactivation of antibiotics, modification of antibiotic targets, changes in membrane permeability, alteration of metabolic pathways, and active removal of toxic compounds from the cell. Among these mechanisms, active drug efflux is particularly important because efflux systems can recognize and transport chemically diverse compounds out of bacterial cells, thereby reducing their intracellular concentrations. Multidrug efflux pumps are therefore considered important contributors to bacterial multidrug resistance.</w:t>
      </w:r>
    </w:p>
    <w:p w:rsidR="57AF9593" w:rsidP="40EE1397" w:rsidRDefault="57AF9593" w14:paraId="65A1D50C" w14:textId="539E380A">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 xml:space="preserve">The resistance-nodulation-division (RND) family represents one of the major groups of multidrug efflux systems found in Gram-negative bacteria. These transporters use the proton motive force across the bacterial inner membrane to drive the export of substrates. In </w:t>
      </w:r>
      <w:r w:rsidRPr="40EE1397" w:rsidR="7B0C96E1">
        <w:rPr>
          <w:rFonts w:ascii="Times New Roman" w:hAnsi="Times New Roman" w:eastAsia="Times New Roman" w:cs="Times New Roman"/>
          <w:i w:val="1"/>
          <w:iCs w:val="1"/>
          <w:noProof w:val="0"/>
          <w:sz w:val="24"/>
          <w:szCs w:val="24"/>
          <w:lang w:val="en-US"/>
        </w:rPr>
        <w:t>Pseudomonas aeruginosa</w:t>
      </w:r>
      <w:r w:rsidRPr="40EE1397" w:rsidR="7B0C96E1">
        <w:rPr>
          <w:rFonts w:ascii="Times New Roman" w:hAnsi="Times New Roman" w:eastAsia="Times New Roman" w:cs="Times New Roman"/>
          <w:noProof w:val="0"/>
          <w:sz w:val="24"/>
          <w:szCs w:val="24"/>
          <w:lang w:val="en-US"/>
        </w:rPr>
        <w:t>, the MexAB-OprM efflux system is one of the best-characterized RND systems and contributes to resistance against a broad range of antimicrobial compounds. MexB functions as the inner-membrane transporter component of this system and plays a central role in substrate recognition and transport.</w:t>
      </w:r>
    </w:p>
    <w:p w:rsidR="57AF9593" w:rsidP="40EE1397" w:rsidRDefault="57AF9593" w14:paraId="594B9A71" w14:textId="7E8A6EA1">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Structural studies of RND transporters have shown that these proteins do not function as static structures. Instead, the three protomers of the transporter can adopt different conformations during the transport cycle. The structures have been described as Access, Binding, and Extrusion states, corresponding to different stages of substrate recognition, binding, and export. This asymmetric arrangement provides a structural explanation for the functional rotation of the transporter and demonstrates why analysis of a single protein conformation may not fully describe the behaviour of an RND efflux pump (Murakami et al., 2006; Seeger et al., 2006).</w:t>
      </w:r>
    </w:p>
    <w:p w:rsidR="57AF9593" w:rsidP="40EE1397" w:rsidRDefault="57AF9593" w14:paraId="73CB1F64" w14:textId="2E6324D1">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The MexB transporter contains an extensive periplasmic porter domain that forms the principal region involved in recognition and transport of substrates. Within this region, distinct binding environments have been identified, including regions capable of accommodating structurally diverse compounds. The internal architecture of the porter domain is therefore an important consideration when investigating possible strategies for interfering with substrate recognition or transport (Nakashima et al., 2013).</w:t>
      </w:r>
    </w:p>
    <w:p w:rsidR="57AF9593" w:rsidP="40EE1397" w:rsidRDefault="57AF9593" w14:paraId="2A24914A" w14:textId="667608C4">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The deep binding region is of particular interest because interactions within this internal cavity may influence the recognition and movement of substrates through the transporter. Aromatic and hydrophobic residues present within the cavity can contribute to ligand stabilization through hydrophobic and π-related interactions, while other residues may participate in polar or electrostatic interactions. Characterizing these residues and their spatial arrangement can therefore provide useful information for computational screening of compounds that may interact with the transporter.</w:t>
      </w:r>
    </w:p>
    <w:p w:rsidR="57AF9593" w:rsidP="40EE1397" w:rsidRDefault="57AF9593" w14:paraId="1ED716CB" w14:textId="774C8943">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Traditional experimental discovery of efflux-pump inhibitors can be resource-intensive because candidate compounds must be identified, synthesized or obtained, tested for activity, and subsequently characterized. Computational approaches can reduce the initial search space by allowing large numbers of compounds to be evaluated before experimental testing. Molecular docking, virtual screening, structural comparison, and machine-learning-based binding-site prediction are among the approaches that can be integrated for this purpose.</w:t>
      </w:r>
    </w:p>
    <w:p w:rsidR="57AF9593" w:rsidP="40EE1397" w:rsidRDefault="57AF9593" w14:paraId="0A950725" w14:textId="20DDBBC0">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Artificial intelligence (AI) and machine-learning approaches have increasingly expanded the capabilities of computational drug discovery. These methods can analyse large chemical and biological datasets, identify patterns associated with molecular activity, predict protein structures and binding sites, and assist in prioritizing candidate compounds. AI-based approaches have been applied to target identification, virtual screening, molecular property prediction, drug repurposing, antimicrobial discovery, and resistance prediction.</w:t>
      </w:r>
    </w:p>
    <w:p w:rsidR="57AF9593" w:rsidP="40EE1397" w:rsidRDefault="57AF9593" w14:paraId="49A24D0C" w14:textId="4990FDC5">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The increasing availability of experimentally determined and computationally predicted protein structures has further strengthened structure-based drug discovery. Protein structural information can be used to identify potential ligand-binding cavities and characterize the amino-acid environment surrounding these regions. Machine-learning-based pocket prediction methods can assist in locating potential binding sites that may not be readily identified through visual inspection alone. P2Rank is one such approach that predicts ligand-binding pockets from protein structural information and assigns scores to candidate sites (Krivák and Hoksza, 2018).</w:t>
      </w:r>
    </w:p>
    <w:p w:rsidR="57AF9593" w:rsidP="40EE1397" w:rsidRDefault="57AF9593" w14:paraId="09C19144" w14:textId="3C2AAC7A">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Molecular docking can subsequently be used to investigate how candidate compounds may interact with a selected binding pocket. Docking methods generate possible ligand orientations within a protein cavity and provide scoring functions that can be used to prioritize predicted binding modes. AutoDock Vina is a widely used docking program that estimates binding affinity while exploring possible ligand conformations and orientations within a defined search region (Eberhardt et al., 2021).</w:t>
      </w:r>
    </w:p>
    <w:p w:rsidR="57AF9593" w:rsidP="40EE1397" w:rsidRDefault="57AF9593" w14:paraId="5208EDD6" w14:textId="1626ABD5">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The combination of structural analysis, binding-site prediction, molecular docking, and residue-level interaction analysis therefore provides a systematic approach for investigating potential ligands against structurally defined protein targets. Such workflows do not establish biological activity directly, but they can identify compounds and interaction patterns that warrant further experimental investigation.</w:t>
      </w:r>
    </w:p>
    <w:p w:rsidR="57AF9593" w:rsidP="40EE1397" w:rsidRDefault="57AF9593" w14:paraId="7FA8026D" w14:textId="54388C24">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 xml:space="preserve">In the present study, MexB from </w:t>
      </w:r>
      <w:r w:rsidRPr="40EE1397" w:rsidR="7B0C96E1">
        <w:rPr>
          <w:rFonts w:ascii="Times New Roman" w:hAnsi="Times New Roman" w:eastAsia="Times New Roman" w:cs="Times New Roman"/>
          <w:i w:val="1"/>
          <w:iCs w:val="1"/>
          <w:noProof w:val="0"/>
          <w:sz w:val="24"/>
          <w:szCs w:val="24"/>
          <w:lang w:val="en-US"/>
        </w:rPr>
        <w:t>Pseudomonas aeruginosa</w:t>
      </w:r>
      <w:r w:rsidRPr="40EE1397" w:rsidR="7B0C96E1">
        <w:rPr>
          <w:rFonts w:ascii="Times New Roman" w:hAnsi="Times New Roman" w:eastAsia="Times New Roman" w:cs="Times New Roman"/>
          <w:noProof w:val="0"/>
          <w:sz w:val="24"/>
          <w:szCs w:val="24"/>
          <w:lang w:val="en-US"/>
        </w:rPr>
        <w:t xml:space="preserve"> was investigated as a structurally defined multidrug efflux-pump target. The biological assembly of the MexB structure was analysed to distinguish the three functional conformational states represented by the Access, Binding, and Extrusion protomers. Structural alignment of the transmembrane regions was used to compare the conformations while minimizing the influence of overall membrane-domain orientation. Changes in the porter domain were subsequently examined to characterize conformational differences associated with the transport cycle.</w:t>
      </w:r>
    </w:p>
    <w:p w:rsidR="57AF9593" w:rsidP="40EE1397" w:rsidRDefault="57AF9593" w14:paraId="0DD63650" w14:textId="44F3C302">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The Binding-state structure was selected for detailed investigation of the Deep Binding Pocket (DBP). P2Rank was used to identify potential ligand-binding regions, after which the functionally relevant pocket within the porter domain was selected for computational screening. The residues defining the selected pocket were subsequently examined to establish a core interaction set for evaluating ligand–protein contacts.</w:t>
      </w:r>
    </w:p>
    <w:p w:rsidR="57AF9593" w:rsidP="40EE1397" w:rsidRDefault="57AF9593" w14:paraId="239E98D2" w14:textId="03644F50">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A collection of candidate compounds was then subjected to molecular docking against the selected DBP using AutoDock Vina. Docking scores and predicted interactions with the predefined core residues were used to prioritize compounds. Experimentally characterized reference ligands were also examined computationally to determine whether the selected binding region could reproduce interaction patterns associated with known MexB-related compounds.</w:t>
      </w:r>
    </w:p>
    <w:p w:rsidR="57AF9593" w:rsidP="40EE1397" w:rsidRDefault="57AF9593" w14:paraId="3DF74104" w14:textId="2474A6F9">
      <w:pPr>
        <w:spacing w:before="240" w:beforeAutospacing="off" w:after="240" w:afterAutospacing="off"/>
      </w:pPr>
      <w:r w:rsidRPr="40EE1397" w:rsidR="7B0C96E1">
        <w:rPr>
          <w:rFonts w:ascii="Times New Roman" w:hAnsi="Times New Roman" w:eastAsia="Times New Roman" w:cs="Times New Roman"/>
          <w:noProof w:val="0"/>
          <w:sz w:val="24"/>
          <w:szCs w:val="24"/>
          <w:lang w:val="en-US"/>
        </w:rPr>
        <w:t>The overall objective of this study was therefore to establish a structure-based computational workflow for characterizing the MexB Deep Binding Pocket and prioritizing potential ligands for further investigation. By integrating conformational analysis, machine-learning-based pocket prediction, molecular docking, and residue-level interaction assessment, the study provides a computational framework for exploring ligand recognition within an important bacterial multidrug efflux transporter.</w:t>
      </w:r>
    </w:p>
    <w:p w:rsidR="57AF9593" w:rsidP="57AF9593" w:rsidRDefault="57AF9593" w14:paraId="10E62676" w14:textId="2B90A091">
      <w:pPr>
        <w:pStyle w:val="Normal"/>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7AF9593" w:rsidP="57AF9593" w:rsidRDefault="57AF9593" w14:paraId="4BDAD20D" w14:textId="618CE3B2">
      <w:pPr>
        <w:pStyle w:val="Normal"/>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7AF9593" w:rsidP="57AF9593" w:rsidRDefault="57AF9593" w14:paraId="052B8F17" w14:textId="684FF3C9">
      <w:pPr>
        <w:pStyle w:val="Normal"/>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7AF9593" w:rsidP="57AF9593" w:rsidRDefault="57AF9593" w14:paraId="3BA66B00" w14:textId="03DDDAF8">
      <w:pPr>
        <w:pStyle w:val="Normal"/>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7AF9593" w:rsidP="57AF9593" w:rsidRDefault="57AF9593" w14:paraId="27116B4C" w14:textId="3119BD37">
      <w:pPr>
        <w:pStyle w:val="Normal"/>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71051838" w:rsidP="40EE1397" w:rsidRDefault="71051838" w14:paraId="7A736C66" w14:textId="31E63045">
      <w:pPr>
        <w:pStyle w:val="Heading2"/>
        <w:rPr>
          <w:rFonts w:ascii="Times New Roman" w:hAnsi="Times New Roman" w:eastAsia="Times New Roman" w:cs="Times New Roman"/>
          <w:b w:val="1"/>
          <w:bCs w:val="1"/>
          <w:noProof w:val="0"/>
          <w:color w:val="auto"/>
          <w:sz w:val="48"/>
          <w:szCs w:val="48"/>
          <w:lang w:val="en-US"/>
        </w:rPr>
      </w:pPr>
      <w:r w:rsidRPr="40EE1397" w:rsidR="71051838">
        <w:rPr>
          <w:rFonts w:ascii="Times New Roman" w:hAnsi="Times New Roman" w:eastAsia="Times New Roman" w:cs="Times New Roman"/>
          <w:b w:val="1"/>
          <w:bCs w:val="1"/>
          <w:noProof w:val="0"/>
          <w:color w:val="auto"/>
          <w:sz w:val="48"/>
          <w:szCs w:val="48"/>
          <w:lang w:val="en-US"/>
        </w:rPr>
        <w:t>2. REVIEW OF LITERATURE</w:t>
      </w:r>
    </w:p>
    <w:p w:rsidR="71051838" w:rsidP="40EE1397" w:rsidRDefault="71051838" w14:paraId="4649D3BA" w14:textId="748716F1">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40EE1397" w:rsidR="71051838">
        <w:rPr>
          <w:rFonts w:ascii="Times New Roman" w:hAnsi="Times New Roman" w:eastAsia="Times New Roman" w:cs="Times New Roman"/>
          <w:b w:val="1"/>
          <w:bCs w:val="1"/>
          <w:noProof w:val="0"/>
          <w:color w:val="auto"/>
          <w:sz w:val="32"/>
          <w:szCs w:val="32"/>
          <w:lang w:val="en-US"/>
        </w:rPr>
        <w:t>2.1 Artificial Intelligence for Drug Discovery and Development in Alzheimer’s Disease</w:t>
      </w:r>
    </w:p>
    <w:p w:rsidR="71051838" w:rsidP="40EE1397" w:rsidRDefault="71051838" w14:paraId="1BBACDCF" w14:textId="40F21857">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Artificial intelligence (AI) has become an increasingly important component of modern drug discovery because it can integrate and analyze large biological and chemical datasets that are difficult to process using conventional approaches. Alzheimer’s disease (AD) is one area in which these approaches are being explored extensively because of the complex interactions among genetic factors, molecular pathways, disease phenotypes, and therapeutic targets. The increasing availability of genomic, transcriptomic, proteomic, metabolomic, and clinical datasets has created opportunities for computational methods to identify disease-associated targets and prioritize potential therapeutic interventions (Qiu and Cheng, 2024).</w:t>
      </w:r>
    </w:p>
    <w:p w:rsidR="71051838" w:rsidP="40EE1397" w:rsidRDefault="71051838" w14:paraId="47472412" w14:textId="2410A2B4">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One example is the Genome-wide Positioning Systems platform for Alzheimer’s medication Discovery (AlzGPS), which integrates information from more than 100 multi-omics datasets together with drug-repurposing information, protein–protein interaction networks, clinical-trial data, and metabolite-related information. Such integrated resources can support systematic identification and prioritization of candidate therapeutic targets rather than relying on a single biological dataset (Qiu and Cheng, 2024).</w:t>
      </w:r>
    </w:p>
    <w:p w:rsidR="71051838" w:rsidP="40EE1397" w:rsidRDefault="71051838" w14:paraId="419286E9" w14:textId="6570DB11">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AI has also been applied to several stages of the pharmaceutical discovery pipeline, including target identification, virtual screening, drug–target interaction prediction, molecular property prediction, de novo molecular design, and drug repurposing. Chemical compounds can be represented in multiple computational forms, including molecular graphs, molecular fingerprints, SMILES strings, and three-dimensional structures. These representations provide different types of information that can be processed by machine-learning and deep-learning models (Qiu and Cheng, 2024).</w:t>
      </w:r>
    </w:p>
    <w:p w:rsidR="71051838" w:rsidP="40EE1397" w:rsidRDefault="71051838" w14:paraId="40EB79A5" w14:textId="76CC8C65">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Structure-based virtual screening and molecular docking remain important computational approaches for evaluating interactions between proteins and candidate ligands. However, the large size of chemical space and the computational cost associated with screening extensive compound libraries have encouraged the use of AI-assisted approaches. GPU-based computation and machine-learning models can improve the scalability of virtual screening and facilitate the prioritization of compounds for subsequent experimental evaluation (Qiu and Cheng, 2024).</w:t>
      </w:r>
    </w:p>
    <w:p w:rsidR="71051838" w:rsidP="40EE1397" w:rsidRDefault="71051838" w14:paraId="3AD2025D" w14:textId="79FBA63B">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AI-based approaches have also been investigated for drug repurposing and prediction of pharmacological properties. For example, image-based representations of molecules have been explored as an alternative to conventional molecular fingerprints. ImageMol, which learns chemical information from molecular images, has demonstrated applications in predicting molecular characteristics relevant to drug development, including metabolism, blood–brain barrier permeability, and toxicity. Such computational predictions can contribute to the early assessment of drug-like properties and ADMET characteristics (Qiu and Cheng, 2024).</w:t>
      </w:r>
    </w:p>
    <w:p w:rsidR="71051838" w:rsidP="40EE1397" w:rsidRDefault="71051838" w14:paraId="181FB8BA" w14:textId="5E31719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Overall, research in AD demonstrates how AI can integrate heterogeneous biological and chemical information to support target identification and compound prioritization. These concepts are also relevant to antimicrobial drug discovery, where large numbers of candidate compounds and complex protein targets require efficient computational methods for systematic investigation.</w:t>
      </w:r>
    </w:p>
    <w:p w:rsidR="71051838" w:rsidP="40EE1397" w:rsidRDefault="71051838" w14:paraId="3FA88096" w14:textId="4D76684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40EE1397" w:rsidR="71051838">
        <w:rPr>
          <w:rFonts w:ascii="Times New Roman" w:hAnsi="Times New Roman" w:eastAsia="Times New Roman" w:cs="Times New Roman"/>
          <w:b w:val="1"/>
          <w:bCs w:val="1"/>
          <w:noProof w:val="0"/>
          <w:color w:val="auto"/>
          <w:sz w:val="32"/>
          <w:szCs w:val="32"/>
          <w:lang w:val="en-US"/>
        </w:rPr>
        <w:t>2.2 Artificial Intelligence in Pharmaceutical Technology and Drug Delivery Design</w:t>
      </w:r>
    </w:p>
    <w:p w:rsidR="71051838" w:rsidP="40EE1397" w:rsidRDefault="71051838" w14:paraId="5F6EAAF5" w14:textId="727AB5B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AI encompasses a range of computational approaches, including machine learning, deep learning, and natural language processing, that can be applied to pharmaceutical research. Depending on the availability of labelled data and the objective of the analysis, supervised and unsupervised learning strategies may be used. Supervised learning establishes relationships between input features and known outputs, whereas unsupervised learning is primarily used to identify patterns, clusters, or relationships in datasets without predefined labels (Vora et al., 2023).</w:t>
      </w:r>
    </w:p>
    <w:p w:rsidR="71051838" w:rsidP="40EE1397" w:rsidRDefault="71051838" w14:paraId="61AF1AE5" w14:textId="3840A91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In pharmaceutical research, supervised machine-learning methods such as support vector machines, random forests, k-nearest-neighbour algorithms, naïve Bayes classifiers, and regression models have been applied to problems involving prediction and classification. Unsupervised approaches can support exploratory analysis through clustering, dimensionality reduction, anomaly detection, and identification of previously unrecognized patterns (Vora et al., 2023).</w:t>
      </w:r>
    </w:p>
    <w:p w:rsidR="71051838" w:rsidP="40EE1397" w:rsidRDefault="71051838" w14:paraId="781097C0" w14:textId="34006D39">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AI can contribute to multiple stages of drug development. Target identification uses biological information to detect disease-associated proteins and pathways, while virtual screening can prioritize compounds according to their predicted interactions with selected targets. Structure–activity relationship (SAR) modelling can connect chemical features with biological activity, helping researchers optimize potency and selectivity. Generative AI and related approaches can additionally be used for de novo design of chemical structures with specified characteristics (Vora et al., 2023).</w:t>
      </w:r>
    </w:p>
    <w:p w:rsidR="71051838" w:rsidP="40EE1397" w:rsidRDefault="71051838" w14:paraId="2CE9B0F4" w14:textId="6FD1B1A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Drug repurposing represents another application in which computational models analyze existing pharmaceutical and biological data to identify alternative therapeutic uses for previously investigated compounds. Similarly, toxicity prediction can be performed during the early stages of development to identify compounds with potentially undesirable properties before substantial experimental resources are invested (Vora et al., 2023).</w:t>
      </w:r>
    </w:p>
    <w:p w:rsidR="71051838" w:rsidP="40EE1397" w:rsidRDefault="71051838" w14:paraId="076CFF03" w14:textId="2CE6C82F">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AI has also been incorporated into pharmaceutical formulation and drug-delivery research. Drug behaviour in biological systems depends on molecular characteristics, formulation parameters, and interactions with physiological environments. Computational models can therefore be used to investigate relationships between formulation variables and drug-release behaviour. This may reduce the number of experimental iterations required during formulation development and facilitate more efficient optimization of pharmaceutical products (Vora et al., 2023).</w:t>
      </w:r>
    </w:p>
    <w:p w:rsidR="71051838" w:rsidP="40EE1397" w:rsidRDefault="71051838" w14:paraId="36A5FC58" w14:textId="5AB756A4">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These applications demonstrate that AI is not restricted to compound discovery itself but can contribute throughout the broader pharmaceutical development process. The ability to integrate diverse datasets and generate predictive models provides a useful foundation for applying computational methods to antimicrobial discovery and resistance-related research.</w:t>
      </w:r>
    </w:p>
    <w:p w:rsidR="71051838" w:rsidP="40EE1397" w:rsidRDefault="71051838" w14:paraId="2BB5A2F7" w14:textId="7DCE012B">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40EE1397" w:rsidR="71051838">
        <w:rPr>
          <w:rFonts w:ascii="Times New Roman" w:hAnsi="Times New Roman" w:eastAsia="Times New Roman" w:cs="Times New Roman"/>
          <w:b w:val="1"/>
          <w:bCs w:val="1"/>
          <w:noProof w:val="0"/>
          <w:color w:val="auto"/>
          <w:sz w:val="32"/>
          <w:szCs w:val="32"/>
          <w:lang w:val="en-US"/>
        </w:rPr>
        <w:t>2.3 Integration of Artificial Intelligence into Drug Discovery and Early Drug Development</w:t>
      </w:r>
    </w:p>
    <w:p w:rsidR="71051838" w:rsidP="40EE1397" w:rsidRDefault="71051838" w14:paraId="74BD7B3C" w14:textId="4C9B9FF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integration of AI with multi-omics, network biology, structural biology, and computational chemistry has expanded the scope of computational drug discovery. Modern drug-development workflows can use AI to analyze genomic, proteomic, transcriptomic, and other biological datasets to identify disease-associated pathways and potential therapeutic targets (Ocaña et al., 2025).</w:t>
      </w:r>
    </w:p>
    <w:p w:rsidR="71051838" w:rsidP="40EE1397" w:rsidRDefault="71051838" w14:paraId="1082DD4E" w14:textId="48485167">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Target discovery is particularly important during the early stages of drug development because the identification of a biologically relevant and druggable target influences subsequent compound-screening strategies. Omics-based analyses, CRISPR-based screening, gene knockout experiments, and other functional genomic approaches can provide evidence for genes and proteins involved in disease-associated processes. AI methods can subsequently assist in identifying patterns across these large datasets that may be difficult to recognize using conventional statistical approaches (Ocaña et al., 2025).</w:t>
      </w:r>
    </w:p>
    <w:p w:rsidR="71051838" w:rsidP="40EE1397" w:rsidRDefault="71051838" w14:paraId="6A8717FF" w14:textId="5DB643E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Machine-learning methods can also contribute to the assessment of protein druggability by integrating information concerning protein structure, function, pathways, and biological relationships. The expansion of predicted protein structures through approaches such as AlphaFold has further increased the number of proteins for which structural information is available for computational analysis. This has the potential to extend structure-based drug discovery to targets for which experimentally determined structures are unavailable (Ocaña et al., 2025).</w:t>
      </w:r>
    </w:p>
    <w:p w:rsidR="71051838" w:rsidP="40EE1397" w:rsidRDefault="71051838" w14:paraId="5D1655D5" w14:textId="272F88DC">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AI can additionally support molecular dynamics and other structural approaches by helping analyse protein flexibility, molecular interactions, and stability. In principle, these methods can provide information about interactions between candidate compounds and proteins, including enzymes and membrane-associated targets. The integration of structural prediction with ligand-based and structure-based methods therefore provides a broader computational framework for drug discovery (Ocaña et al., 2025).</w:t>
      </w:r>
    </w:p>
    <w:p w:rsidR="71051838" w:rsidP="40EE1397" w:rsidRDefault="71051838" w14:paraId="32306557" w14:textId="752815E5">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Another important application is personalized therapeutic development, in which genetic and molecular information is used to identify patient-specific treatment opportunities. Although many of these applications are primarily focused on human disease, the underlying computational principles—data integration, target identification, structural prediction, and ligand prioritization—are also applicable to infectious-disease research.</w:t>
      </w:r>
    </w:p>
    <w:p w:rsidR="71051838" w:rsidP="40EE1397" w:rsidRDefault="71051838" w14:paraId="053B9F17" w14:textId="1CE1F6C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Consequently, AI-based approaches provide a framework in which biological target identification and chemical screening can be connected through computational workflows. This is particularly relevant to antimicrobial resistance, where rapid identification of therapeutically useful targets and compounds is an important research objective.</w:t>
      </w:r>
    </w:p>
    <w:p w:rsidR="71051838" w:rsidP="40EE1397" w:rsidRDefault="71051838" w14:paraId="4C23004B" w14:textId="41AA3574">
      <w:pPr>
        <w:pStyle w:val="Heading3"/>
        <w:spacing w:before="281" w:beforeAutospacing="off" w:after="281" w:afterAutospacing="off"/>
        <w:rPr>
          <w:rFonts w:ascii="Times New Roman" w:hAnsi="Times New Roman" w:eastAsia="Times New Roman" w:cs="Times New Roman"/>
          <w:b w:val="1"/>
          <w:bCs w:val="1"/>
          <w:noProof w:val="0"/>
          <w:color w:val="auto"/>
          <w:sz w:val="32"/>
          <w:szCs w:val="32"/>
          <w:lang w:val="en-US"/>
        </w:rPr>
      </w:pPr>
      <w:r w:rsidRPr="40EE1397" w:rsidR="71051838">
        <w:rPr>
          <w:rFonts w:ascii="Times New Roman" w:hAnsi="Times New Roman" w:eastAsia="Times New Roman" w:cs="Times New Roman"/>
          <w:b w:val="1"/>
          <w:bCs w:val="1"/>
          <w:noProof w:val="0"/>
          <w:color w:val="auto"/>
          <w:sz w:val="32"/>
          <w:szCs w:val="32"/>
          <w:lang w:val="en-US"/>
        </w:rPr>
        <w:t>2.4 AI-Validated Brain-Targeted mRNA Lipid Nanoparticles with Neuronal Tropism</w:t>
      </w:r>
    </w:p>
    <w:p w:rsidR="71051838" w:rsidP="40EE1397" w:rsidRDefault="71051838" w14:paraId="05701776" w14:textId="1D11BE7C">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AI has also been applied to the development and optimization of drug-delivery systems. One recent approach investigated brain-targeted lipid nanoparticles (LNPs) designed to improve delivery of messenger RNA to neural tissues. Because delivery across the blood–brain barrier represents a major challenge in neurological therapeutics, researchers investigated surface-modifying molecules that could promote preferential interaction with brain-associated cells (Sela et al., 2025).</w:t>
      </w:r>
    </w:p>
    <w:p w:rsidR="71051838" w:rsidP="40EE1397" w:rsidRDefault="71051838" w14:paraId="799FF056" w14:textId="482F29B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study examined different targeting molecules, including derivatives associated with glucose, acetylcholine, memantine, methylphenidate, nicotine, norepinephrine, and tryptophan. These molecules were incorporated into LNP formulations containing components such as ionizable lipids, cholesterol, helper lipids, and polyethylene glycol (PEG)-associated lipids. Formulation parameters were systematically modified to obtain particles with suitable physical and biological characteristics (Sela et al., 2025).</w:t>
      </w:r>
    </w:p>
    <w:p w:rsidR="71051838" w:rsidP="40EE1397" w:rsidRDefault="71051838" w14:paraId="41DD570C" w14:textId="7CC4FA02">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 graph-based AI approach was combined with experimental testing to evaluate the performance of different formulations. Among the investigated targeting strategies, acetylcholine-conjugated nanoparticles showed favourable characteristics in terms of transfection and brain-associated expression. Additional experiments using human induced pluripotent stem cell-derived models and brain organoids were performed to investigate cellular selectivity and delivery characteristics (Sela et al., 2025).</w:t>
      </w:r>
    </w:p>
    <w:p w:rsidR="71051838" w:rsidP="40EE1397" w:rsidRDefault="71051838" w14:paraId="1ABC1281" w14:textId="58037D33">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study illustrates how AI can be integrated with experimental pharmaceutical development rather than being used as an isolated computational technique. Machine-learning models can assist with formulation optimization and prediction, while laboratory experiments provide validation of the resulting computational predictions. Such combined approaches can reduce the search space and improve the efficiency of formulation development.</w:t>
      </w:r>
    </w:p>
    <w:p w:rsidR="71051838" w:rsidP="40EE1397" w:rsidRDefault="71051838" w14:paraId="4DE8D5BC" w14:textId="4DE86A2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Although this work focuses on neurological drug delivery rather than antimicrobial targets, it demonstrates a broader principle relevant to the present study: AI and computational modelling can be used to prioritize complex biological and chemical possibilities before experimental validation.</w:t>
      </w:r>
    </w:p>
    <w:p w:rsidR="71051838" w:rsidP="40EE1397" w:rsidRDefault="71051838" w14:paraId="03A8EC8A" w14:textId="1CC30D36">
      <w:pPr>
        <w:pStyle w:val="Heading3"/>
        <w:spacing w:before="281" w:beforeAutospacing="off" w:after="281" w:afterAutospacing="off"/>
        <w:rPr>
          <w:rFonts w:ascii="Times New Roman" w:hAnsi="Times New Roman" w:eastAsia="Times New Roman" w:cs="Times New Roman"/>
          <w:b w:val="1"/>
          <w:bCs w:val="1"/>
          <w:noProof w:val="0"/>
          <w:color w:val="auto"/>
          <w:sz w:val="32"/>
          <w:szCs w:val="32"/>
          <w:lang w:val="en-US"/>
        </w:rPr>
      </w:pPr>
      <w:r w:rsidRPr="40EE1397" w:rsidR="71051838">
        <w:rPr>
          <w:rFonts w:ascii="Times New Roman" w:hAnsi="Times New Roman" w:eastAsia="Times New Roman" w:cs="Times New Roman"/>
          <w:b w:val="1"/>
          <w:bCs w:val="1"/>
          <w:noProof w:val="0"/>
          <w:color w:val="auto"/>
          <w:sz w:val="32"/>
          <w:szCs w:val="32"/>
          <w:lang w:val="en-US"/>
        </w:rPr>
        <w:t>2.5 A Novel Antibiotic Class Targeting the Lipopolysaccharide Transporter</w:t>
      </w:r>
    </w:p>
    <w:p w:rsidR="71051838" w:rsidP="40EE1397" w:rsidRDefault="71051838" w14:paraId="36757011" w14:textId="51D78E2C">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The discovery of new antibacterial targets is increasingly important because conventional antibiotics are challenged by the emergence of multidrug-resistant organisms. One example of structure-guided antibacterial discovery is the development of zosurabalpin, a compound from a new class of tethered macrocyclic peptides (MCPs) that targets the bacterial lipopolysaccharide transport system in </w:t>
      </w:r>
      <w:r w:rsidRPr="40EE1397" w:rsidR="71051838">
        <w:rPr>
          <w:rFonts w:ascii="Times New Roman" w:hAnsi="Times New Roman" w:eastAsia="Times New Roman" w:cs="Times New Roman"/>
          <w:i w:val="1"/>
          <w:iCs w:val="1"/>
          <w:noProof w:val="0"/>
          <w:sz w:val="24"/>
          <w:szCs w:val="24"/>
          <w:lang w:val="en-US"/>
        </w:rPr>
        <w:t>Acinetobacter baumannii</w:t>
      </w:r>
      <w:r w:rsidRPr="40EE1397" w:rsidR="71051838">
        <w:rPr>
          <w:rFonts w:ascii="Times New Roman" w:hAnsi="Times New Roman" w:eastAsia="Times New Roman" w:cs="Times New Roman"/>
          <w:noProof w:val="0"/>
          <w:sz w:val="24"/>
          <w:szCs w:val="24"/>
          <w:lang w:val="en-US"/>
        </w:rPr>
        <w:t xml:space="preserve"> (Zampaloni et al., 2024).</w:t>
      </w:r>
    </w:p>
    <w:p w:rsidR="71051838" w:rsidP="40EE1397" w:rsidRDefault="71051838" w14:paraId="2860D24D" w14:textId="721E9233">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Researchers screened a large collection of chemical compounds to identify molecules with antibacterial activity against clinically important bacterial strains. The active compounds shared structural characteristics that contributed to their ability to interact with the selected bacterial target. Subsequent optimization was required because early compounds showed limitations associated with pharmacological behaviour and tolerability (Zampaloni et al., 2024).</w:t>
      </w:r>
    </w:p>
    <w:p w:rsidR="71051838" w:rsidP="40EE1397" w:rsidRDefault="71051838" w14:paraId="16B796BE" w14:textId="51DD20AB">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mechanism of action was investigated through a combination of microbiological, biochemical, structural, and animal studies. Resistance-selection experiments were used to examine the ability of bacteria to develop resistance to the compound. Additional experiments investigated the interaction of the compound with the LPS transport machinery and its ability to interfere with bacterial LPS transport (Zampaloni et al., 2024).</w:t>
      </w:r>
    </w:p>
    <w:p w:rsidR="71051838" w:rsidP="40EE1397" w:rsidRDefault="71051838" w14:paraId="55CDAEB3" w14:textId="5858D6D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The optimized compound showed antibacterial activity against carbapenem-resistant </w:t>
      </w:r>
      <w:r w:rsidRPr="40EE1397" w:rsidR="71051838">
        <w:rPr>
          <w:rFonts w:ascii="Times New Roman" w:hAnsi="Times New Roman" w:eastAsia="Times New Roman" w:cs="Times New Roman"/>
          <w:i w:val="1"/>
          <w:iCs w:val="1"/>
          <w:noProof w:val="0"/>
          <w:sz w:val="24"/>
          <w:szCs w:val="24"/>
          <w:lang w:val="en-US"/>
        </w:rPr>
        <w:t>A. baumannii</w:t>
      </w:r>
      <w:r w:rsidRPr="40EE1397" w:rsidR="71051838">
        <w:rPr>
          <w:rFonts w:ascii="Times New Roman" w:hAnsi="Times New Roman" w:eastAsia="Times New Roman" w:cs="Times New Roman"/>
          <w:noProof w:val="0"/>
          <w:sz w:val="24"/>
          <w:szCs w:val="24"/>
          <w:lang w:val="en-US"/>
        </w:rPr>
        <w:t xml:space="preserve"> and demonstrated efficacy in relevant animal infection models. These findings provided evidence that targeting an essential bacterial transport pathway can represent a viable strategy for developing antibiotics against highly resistant pathogens (Zampaloni et al., 2024).</w:t>
      </w:r>
    </w:p>
    <w:p w:rsidR="71051838" w:rsidP="40EE1397" w:rsidRDefault="71051838" w14:paraId="08D1D817" w14:textId="5B29AEA0">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This study is relevant to computational antimicrobial research because it demonstrates the importance of identifying structurally and functionally meaningful bacterial targets. It also highlights the need to combine computational or screening-based identification with biochemical and biological validation before a candidate can be considered a therapeutic lead.</w:t>
      </w:r>
    </w:p>
    <w:p w:rsidR="71051838" w:rsidP="40EE1397" w:rsidRDefault="71051838" w14:paraId="6E181846" w14:textId="6061E909">
      <w:pPr>
        <w:pStyle w:val="Heading3"/>
        <w:spacing w:before="281" w:beforeAutospacing="off" w:after="281" w:afterAutospacing="off"/>
        <w:rPr>
          <w:rFonts w:ascii="Times New Roman" w:hAnsi="Times New Roman" w:eastAsia="Times New Roman" w:cs="Times New Roman"/>
          <w:b w:val="1"/>
          <w:bCs w:val="1"/>
          <w:i w:val="1"/>
          <w:iCs w:val="1"/>
          <w:noProof w:val="0"/>
          <w:color w:val="auto"/>
          <w:sz w:val="32"/>
          <w:szCs w:val="32"/>
          <w:lang w:val="en-US"/>
        </w:rPr>
      </w:pPr>
      <w:r w:rsidRPr="40EE1397" w:rsidR="71051838">
        <w:rPr>
          <w:rFonts w:ascii="Times New Roman" w:hAnsi="Times New Roman" w:eastAsia="Times New Roman" w:cs="Times New Roman"/>
          <w:b w:val="1"/>
          <w:bCs w:val="1"/>
          <w:noProof w:val="0"/>
          <w:color w:val="auto"/>
          <w:sz w:val="32"/>
          <w:szCs w:val="32"/>
          <w:lang w:val="en-US"/>
        </w:rPr>
        <w:t xml:space="preserve">2.6 Restriction of Arginine Induces Antibiotic Tolerance in </w:t>
      </w:r>
      <w:r w:rsidRPr="40EE1397" w:rsidR="71051838">
        <w:rPr>
          <w:rFonts w:ascii="Times New Roman" w:hAnsi="Times New Roman" w:eastAsia="Times New Roman" w:cs="Times New Roman"/>
          <w:b w:val="1"/>
          <w:bCs w:val="1"/>
          <w:i w:val="1"/>
          <w:iCs w:val="1"/>
          <w:noProof w:val="0"/>
          <w:color w:val="auto"/>
          <w:sz w:val="32"/>
          <w:szCs w:val="32"/>
          <w:lang w:val="en-US"/>
        </w:rPr>
        <w:t>Staphylococcus aureus</w:t>
      </w:r>
    </w:p>
    <w:p w:rsidR="71051838" w:rsidP="40EE1397" w:rsidRDefault="71051838" w14:paraId="4771D8DA" w14:textId="217CD5D5">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Antibiotic resistance and antibiotic tolerance can arise through multiple biological mechanisms, making it necessary to investigate bacterial pathways beyond conventional resistance genes. A study of </w:t>
      </w:r>
      <w:r w:rsidRPr="40EE1397" w:rsidR="71051838">
        <w:rPr>
          <w:rFonts w:ascii="Times New Roman" w:hAnsi="Times New Roman" w:eastAsia="Times New Roman" w:cs="Times New Roman"/>
          <w:i w:val="1"/>
          <w:iCs w:val="1"/>
          <w:noProof w:val="0"/>
          <w:sz w:val="24"/>
          <w:szCs w:val="24"/>
          <w:lang w:val="en-US"/>
        </w:rPr>
        <w:t>Staphylococcus aureus</w:t>
      </w:r>
      <w:r w:rsidRPr="40EE1397" w:rsidR="71051838">
        <w:rPr>
          <w:rFonts w:ascii="Times New Roman" w:hAnsi="Times New Roman" w:eastAsia="Times New Roman" w:cs="Times New Roman"/>
          <w:noProof w:val="0"/>
          <w:sz w:val="24"/>
          <w:szCs w:val="24"/>
          <w:lang w:val="en-US"/>
        </w:rPr>
        <w:t xml:space="preserve"> biofilms used complementary genomic and proteomic approaches to identify mechanisms associated with antibiotic tolerance (Freiberg et al., 2024).</w:t>
      </w:r>
    </w:p>
    <w:p w:rsidR="71051838" w:rsidP="40EE1397" w:rsidRDefault="71051838" w14:paraId="61E01E37" w14:textId="3F692C8A">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The researchers investigated biofilms using multiple </w:t>
      </w:r>
      <w:r w:rsidRPr="40EE1397" w:rsidR="71051838">
        <w:rPr>
          <w:rFonts w:ascii="Times New Roman" w:hAnsi="Times New Roman" w:eastAsia="Times New Roman" w:cs="Times New Roman"/>
          <w:i w:val="1"/>
          <w:iCs w:val="1"/>
          <w:noProof w:val="0"/>
          <w:sz w:val="24"/>
          <w:szCs w:val="24"/>
          <w:lang w:val="en-US"/>
        </w:rPr>
        <w:t>S. aureus</w:t>
      </w:r>
      <w:r w:rsidRPr="40EE1397" w:rsidR="71051838">
        <w:rPr>
          <w:rFonts w:ascii="Times New Roman" w:hAnsi="Times New Roman" w:eastAsia="Times New Roman" w:cs="Times New Roman"/>
          <w:noProof w:val="0"/>
          <w:sz w:val="24"/>
          <w:szCs w:val="24"/>
          <w:lang w:val="en-US"/>
        </w:rPr>
        <w:t xml:space="preserve"> strains and combined transposon sequencing with quantitative proteomics. The transposon-based approach enabled systematic assessment of genes affecting antibiotic susceptibility, while proteomic analysis provided information about changes in protein abundance associated with the tolerant phenotype (Freiberg et al., 2024).</w:t>
      </w:r>
    </w:p>
    <w:p w:rsidR="71051838" w:rsidP="40EE1397" w:rsidRDefault="71051838" w14:paraId="6CF32D13" w14:textId="3EE528A8">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 high-density transposon library was generated and analysed to identify genes associated with altered antibiotic sensitivity. In parallel, label-free quantitative liquid chromatography–tandem mass spectrometry was used to examine the protein composition of biofilms. Combining these datasets allowed the researchers to identify biological pathways that were not necessarily obvious from either dataset independently (Freiberg et al., 2024).</w:t>
      </w:r>
    </w:p>
    <w:p w:rsidR="71051838" w:rsidP="40EE1397" w:rsidRDefault="71051838" w14:paraId="64BC28D9" w14:textId="59559CE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The investigation identified a relationship between arginine availability, arginine metabolism, protein synthesis, and antibiotic tolerance. Restriction of arginine production affected bacterial protein synthesis and altered the response of </w:t>
      </w:r>
      <w:r w:rsidRPr="40EE1397" w:rsidR="71051838">
        <w:rPr>
          <w:rFonts w:ascii="Times New Roman" w:hAnsi="Times New Roman" w:eastAsia="Times New Roman" w:cs="Times New Roman"/>
          <w:i w:val="1"/>
          <w:iCs w:val="1"/>
          <w:noProof w:val="0"/>
          <w:sz w:val="24"/>
          <w:szCs w:val="24"/>
          <w:lang w:val="en-US"/>
        </w:rPr>
        <w:t>S. aureus</w:t>
      </w:r>
      <w:r w:rsidRPr="40EE1397" w:rsidR="71051838">
        <w:rPr>
          <w:rFonts w:ascii="Times New Roman" w:hAnsi="Times New Roman" w:eastAsia="Times New Roman" w:cs="Times New Roman"/>
          <w:noProof w:val="0"/>
          <w:sz w:val="24"/>
          <w:szCs w:val="24"/>
          <w:lang w:val="en-US"/>
        </w:rPr>
        <w:t xml:space="preserve"> to antibiotic treatment. Additional experiments in animal infection models provided biological evidence supporting the importance of this metabolic pathway in antibiotic tolerance (Freiberg et al., 2024).</w:t>
      </w:r>
    </w:p>
    <w:p w:rsidR="71051838" w:rsidP="40EE1397" w:rsidRDefault="71051838" w14:paraId="74823612" w14:textId="3ABBD200">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This study demonstrates the value of integrating independent datasets to identify mechanisms that contribute to antimicrobial treatment failure. The approach is conceptually relevant to AI-assisted target discovery because computational integration of genomic, proteomic, and phenotypic information can help identify biological processes that may subsequently be investigated as therapeutic targets.</w:t>
      </w:r>
    </w:p>
    <w:p w:rsidR="71051838" w:rsidP="40EE1397" w:rsidRDefault="71051838" w14:paraId="73476B5A" w14:textId="3E3E5933">
      <w:pPr>
        <w:pStyle w:val="Heading3"/>
        <w:spacing w:before="281" w:beforeAutospacing="off" w:after="281" w:afterAutospacing="off"/>
        <w:rPr>
          <w:rFonts w:ascii="Times New Roman" w:hAnsi="Times New Roman" w:eastAsia="Times New Roman" w:cs="Times New Roman"/>
          <w:b w:val="1"/>
          <w:bCs w:val="1"/>
          <w:noProof w:val="0"/>
          <w:color w:val="auto"/>
          <w:sz w:val="32"/>
          <w:szCs w:val="32"/>
          <w:lang w:val="en-US"/>
        </w:rPr>
      </w:pPr>
      <w:r w:rsidRPr="40EE1397" w:rsidR="71051838">
        <w:rPr>
          <w:rFonts w:ascii="Times New Roman" w:hAnsi="Times New Roman" w:eastAsia="Times New Roman" w:cs="Times New Roman"/>
          <w:b w:val="1"/>
          <w:bCs w:val="1"/>
          <w:noProof w:val="0"/>
          <w:color w:val="auto"/>
          <w:sz w:val="32"/>
          <w:szCs w:val="32"/>
          <w:lang w:val="en-US"/>
        </w:rPr>
        <w:t xml:space="preserve">2.7 Functional Re-annotation of the </w:t>
      </w:r>
      <w:r w:rsidRPr="40EE1397" w:rsidR="71051838">
        <w:rPr>
          <w:rFonts w:ascii="Times New Roman" w:hAnsi="Times New Roman" w:eastAsia="Times New Roman" w:cs="Times New Roman"/>
          <w:b w:val="1"/>
          <w:bCs w:val="1"/>
          <w:i w:val="1"/>
          <w:iCs w:val="1"/>
          <w:noProof w:val="0"/>
          <w:color w:val="auto"/>
          <w:sz w:val="32"/>
          <w:szCs w:val="32"/>
          <w:lang w:val="en-US"/>
        </w:rPr>
        <w:t>Mycobacteroides abscessus</w:t>
      </w:r>
      <w:r w:rsidRPr="40EE1397" w:rsidR="71051838">
        <w:rPr>
          <w:rFonts w:ascii="Times New Roman" w:hAnsi="Times New Roman" w:eastAsia="Times New Roman" w:cs="Times New Roman"/>
          <w:b w:val="1"/>
          <w:bCs w:val="1"/>
          <w:noProof w:val="0"/>
          <w:color w:val="auto"/>
          <w:sz w:val="32"/>
          <w:szCs w:val="32"/>
          <w:lang w:val="en-US"/>
        </w:rPr>
        <w:t xml:space="preserve"> Proteome Using Integrative Sequence- and AI-Based Structural Approaches</w:t>
      </w:r>
    </w:p>
    <w:p w:rsidR="71051838" w:rsidP="40EE1397" w:rsidRDefault="71051838" w14:paraId="39B53DD6" w14:textId="248306D9">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Functional annotation of bacterial proteins is an important step in identifying potential therapeutic targets. This is particularly relevant for pathogens such as </w:t>
      </w:r>
      <w:r w:rsidRPr="40EE1397" w:rsidR="71051838">
        <w:rPr>
          <w:rFonts w:ascii="Times New Roman" w:hAnsi="Times New Roman" w:eastAsia="Times New Roman" w:cs="Times New Roman"/>
          <w:i w:val="1"/>
          <w:iCs w:val="1"/>
          <w:noProof w:val="0"/>
          <w:sz w:val="24"/>
          <w:szCs w:val="24"/>
          <w:lang w:val="en-US"/>
        </w:rPr>
        <w:t>Mycobacteroides abscessus</w:t>
      </w:r>
      <w:r w:rsidRPr="40EE1397" w:rsidR="71051838">
        <w:rPr>
          <w:rFonts w:ascii="Times New Roman" w:hAnsi="Times New Roman" w:eastAsia="Times New Roman" w:cs="Times New Roman"/>
          <w:noProof w:val="0"/>
          <w:sz w:val="24"/>
          <w:szCs w:val="24"/>
          <w:lang w:val="en-US"/>
        </w:rPr>
        <w:t>, which can cause persistent infections and present substantial treatment challenges, especially in individuals with underlying pulmonary disorders (Gnanasekar et al., 2025).</w:t>
      </w:r>
    </w:p>
    <w:p w:rsidR="71051838" w:rsidP="40EE1397" w:rsidRDefault="71051838" w14:paraId="2369B28D" w14:textId="585F5B35">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An integrative computational strategy was developed to improve functional annotation of the </w:t>
      </w:r>
      <w:r w:rsidRPr="40EE1397" w:rsidR="71051838">
        <w:rPr>
          <w:rFonts w:ascii="Times New Roman" w:hAnsi="Times New Roman" w:eastAsia="Times New Roman" w:cs="Times New Roman"/>
          <w:i w:val="1"/>
          <w:iCs w:val="1"/>
          <w:noProof w:val="0"/>
          <w:sz w:val="24"/>
          <w:szCs w:val="24"/>
          <w:lang w:val="en-US"/>
        </w:rPr>
        <w:t>M. abscessus</w:t>
      </w:r>
      <w:r w:rsidRPr="40EE1397" w:rsidR="71051838">
        <w:rPr>
          <w:rFonts w:ascii="Times New Roman" w:hAnsi="Times New Roman" w:eastAsia="Times New Roman" w:cs="Times New Roman"/>
          <w:noProof w:val="0"/>
          <w:sz w:val="24"/>
          <w:szCs w:val="24"/>
          <w:lang w:val="en-US"/>
        </w:rPr>
        <w:t xml:space="preserve"> proteome. Rather than depending exclusively on sequence similarity, the researchers combined conventional sequence-based approaches with structural comparison and AI-assisted protein structure prediction. This allowed proteins with limited or uncertain annotation to be investigated using complementary sources of information (Gnanasekar et al., 2025).</w:t>
      </w:r>
    </w:p>
    <w:p w:rsidR="71051838" w:rsidP="40EE1397" w:rsidRDefault="71051838" w14:paraId="7FA6A3F5" w14:textId="3C3E13F2">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workflow incorporated information from UniProtKB and Gene Ontology resources, followed by sequence-based similarity searches. Profile-based searches using HMMER against protein-family resources such as Pfam and CATH were used to identify conserved functional or structural domains. Structural similarity searches were subsequently performed using Foldseek, while AlphaFold2-predicted structures provided additional structural information for proteins without experimentally determined models (Gnanasekar et al., 2025).</w:t>
      </w:r>
    </w:p>
    <w:p w:rsidR="71051838" w:rsidP="40EE1397" w:rsidRDefault="71051838" w14:paraId="1631D13B" w14:textId="591CAE06">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Structural matches to proteins with established functional annotations could then be used to improve the annotation of previously poorly characterized proteins. This strategy was particularly useful for proteins lacking reliable Gene Ontology assignments, as structural relationships can reveal similarities that may not be sufficiently evident from sequence-based analysis alone (Gnanasekar et al., 2025).</w:t>
      </w:r>
    </w:p>
    <w:p w:rsidR="71051838" w:rsidP="40EE1397" w:rsidRDefault="71051838" w14:paraId="026824E0" w14:textId="101DB053">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The study demonstrated that a substantial proportion of the </w:t>
      </w:r>
      <w:r w:rsidRPr="40EE1397" w:rsidR="71051838">
        <w:rPr>
          <w:rFonts w:ascii="Times New Roman" w:hAnsi="Times New Roman" w:eastAsia="Times New Roman" w:cs="Times New Roman"/>
          <w:i w:val="1"/>
          <w:iCs w:val="1"/>
          <w:noProof w:val="0"/>
          <w:sz w:val="24"/>
          <w:szCs w:val="24"/>
          <w:lang w:val="en-US"/>
        </w:rPr>
        <w:t>M. abscessus</w:t>
      </w:r>
      <w:r w:rsidRPr="40EE1397" w:rsidR="71051838">
        <w:rPr>
          <w:rFonts w:ascii="Times New Roman" w:hAnsi="Times New Roman" w:eastAsia="Times New Roman" w:cs="Times New Roman"/>
          <w:noProof w:val="0"/>
          <w:sz w:val="24"/>
          <w:szCs w:val="24"/>
          <w:lang w:val="en-US"/>
        </w:rPr>
        <w:t xml:space="preserve"> proteome remained experimentally uncharacterized or incompletely annotated. Integrating sequence, domain, and structural information improved the functional characterization of these proteins and provided a basis for identifying proteins that could warrant further investigation as potential therapeutic targets (Gnanasekar et al., 2025).</w:t>
      </w:r>
    </w:p>
    <w:p w:rsidR="71051838" w:rsidP="40EE1397" w:rsidRDefault="71051838" w14:paraId="0E07584A" w14:textId="44FB02D3">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This work illustrates the increasing importance of combining AI-based structural prediction with conventional bioinformatics. Such integrative strategies provide a useful conceptual foundation for computational studies of antibiotic-resistance proteins and membrane-associated drug targets.</w:t>
      </w:r>
    </w:p>
    <w:p w:rsidR="71051838" w:rsidP="40EE1397" w:rsidRDefault="71051838" w14:paraId="385A5979" w14:textId="49C53157">
      <w:pPr>
        <w:pStyle w:val="Heading3"/>
        <w:spacing w:before="281" w:beforeAutospacing="off" w:after="281" w:afterAutospacing="off"/>
        <w:rPr>
          <w:rFonts w:ascii="Times New Roman" w:hAnsi="Times New Roman" w:eastAsia="Times New Roman" w:cs="Times New Roman"/>
          <w:b w:val="1"/>
          <w:bCs w:val="1"/>
          <w:noProof w:val="0"/>
          <w:color w:val="auto"/>
          <w:sz w:val="32"/>
          <w:szCs w:val="32"/>
          <w:lang w:val="en-US"/>
        </w:rPr>
      </w:pPr>
      <w:r w:rsidRPr="40EE1397" w:rsidR="71051838">
        <w:rPr>
          <w:rFonts w:ascii="Times New Roman" w:hAnsi="Times New Roman" w:eastAsia="Times New Roman" w:cs="Times New Roman"/>
          <w:b w:val="1"/>
          <w:bCs w:val="1"/>
          <w:noProof w:val="0"/>
          <w:color w:val="auto"/>
          <w:sz w:val="32"/>
          <w:szCs w:val="32"/>
          <w:lang w:val="en-US"/>
        </w:rPr>
        <w:t>2.8 AI-Guided Discovery and Optimization of Antimicrobial Peptides Using Species-Aware Language Models</w:t>
      </w:r>
    </w:p>
    <w:p w:rsidR="71051838" w:rsidP="40EE1397" w:rsidRDefault="71051838" w14:paraId="0CD0E21D" w14:textId="2BB27856">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Antimicrobial peptides (AMPs) represent another area in which AI has been applied to accelerate antimicrobial discovery. AMPs can act through membrane disruption or interactions with intracellular bacterial targets, making them attractive candidates for development as alternative antimicrobial agents. However, the large number of possible peptide sequences makes experimental screening of all candidates impractical (Bae et al., 2025).</w:t>
      </w:r>
    </w:p>
    <w:p w:rsidR="71051838" w:rsidP="40EE1397" w:rsidRDefault="71051838" w14:paraId="3935503F" w14:textId="339F22A6">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To address this challenge, machine-learning and protein-language-model approaches have been developed to predict antimicrobial activity from peptide sequences. A species-aware framework can incorporate both peptide characteristics and information about the bacterial species against which activity is being predicted. This is important because antimicrobial activity may differ considerably between bacterial species (Bae et al., 2025).</w:t>
      </w:r>
    </w:p>
    <w:p w:rsidR="71051838" w:rsidP="40EE1397" w:rsidRDefault="71051838" w14:paraId="45D05B70" w14:textId="0582D240">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LLAMP framework incorporated a transformer-based protein language model, ESM-2, to learn sequence features and subsequently predict antimicrobial activity. Large peptide datasets were used during model development, while additional bacterial genomic information was incorporated to improve species-specific predictions. This strategy allowed peptide sequences to be evaluated according to predicted activity rather than requiring every candidate to undergo immediate laboratory testing (Bae et al., 2025).</w:t>
      </w:r>
    </w:p>
    <w:p w:rsidR="71051838" w:rsidP="40EE1397" w:rsidRDefault="71051838" w14:paraId="50D67FEE" w14:textId="62526739">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computational workflow also included filtering based on predicted activity and physicochemical properties. Stability, charge, and predicted minimum inhibitory concentration were considered when selecting candidate peptides for further analysis. Attention-based analysis was additionally used to investigate sequence regions that contributed strongly to the model's predictions (Bae et al., 2025).</w:t>
      </w:r>
    </w:p>
    <w:p w:rsidR="71051838" w:rsidP="40EE1397" w:rsidRDefault="71051838" w14:paraId="548A971C" w14:textId="46F0C99B">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study demonstrates how protein-language models can reduce the experimental search space in antimicrobial discovery. Although the present project focuses on small-molecule ligands and a protein target rather than antimicrobial peptides, the underlying principle is similar: computational prediction can be used as a prioritization step before experimental evaluation.</w:t>
      </w:r>
    </w:p>
    <w:p w:rsidR="71051838" w:rsidP="40EE1397" w:rsidRDefault="71051838" w14:paraId="5E4BDB52" w14:textId="7BF6C3AC">
      <w:pPr>
        <w:pStyle w:val="Heading3"/>
        <w:spacing w:before="281" w:beforeAutospacing="off" w:after="281" w:afterAutospacing="off"/>
        <w:rPr>
          <w:rFonts w:ascii="Times New Roman" w:hAnsi="Times New Roman" w:eastAsia="Times New Roman" w:cs="Times New Roman"/>
          <w:b w:val="1"/>
          <w:bCs w:val="1"/>
          <w:i w:val="1"/>
          <w:iCs w:val="1"/>
          <w:noProof w:val="0"/>
          <w:color w:val="auto"/>
          <w:sz w:val="32"/>
          <w:szCs w:val="32"/>
          <w:lang w:val="en-US"/>
        </w:rPr>
      </w:pPr>
      <w:r w:rsidRPr="40EE1397" w:rsidR="71051838">
        <w:rPr>
          <w:rFonts w:ascii="Times New Roman" w:hAnsi="Times New Roman" w:eastAsia="Times New Roman" w:cs="Times New Roman"/>
          <w:b w:val="1"/>
          <w:bCs w:val="1"/>
          <w:noProof w:val="0"/>
          <w:color w:val="auto"/>
          <w:sz w:val="32"/>
          <w:szCs w:val="32"/>
          <w:lang w:val="en-US"/>
        </w:rPr>
        <w:t xml:space="preserve">2.9 Artificial Intelligence for Antimicrobial Resistance Detection and Prediction in </w:t>
      </w:r>
      <w:r w:rsidRPr="40EE1397" w:rsidR="71051838">
        <w:rPr>
          <w:rFonts w:ascii="Times New Roman" w:hAnsi="Times New Roman" w:eastAsia="Times New Roman" w:cs="Times New Roman"/>
          <w:b w:val="1"/>
          <w:bCs w:val="1"/>
          <w:i w:val="1"/>
          <w:iCs w:val="1"/>
          <w:noProof w:val="0"/>
          <w:color w:val="auto"/>
          <w:sz w:val="32"/>
          <w:szCs w:val="32"/>
          <w:lang w:val="en-US"/>
        </w:rPr>
        <w:t>Klebsiella pneumoniae</w:t>
      </w:r>
    </w:p>
    <w:p w:rsidR="71051838" w:rsidP="40EE1397" w:rsidRDefault="71051838" w14:paraId="6C7CA170" w14:textId="7FF9FC42">
      <w:pPr>
        <w:spacing w:before="240" w:beforeAutospacing="off" w:after="240" w:afterAutospacing="off"/>
      </w:pPr>
      <w:r w:rsidRPr="40EE1397" w:rsidR="71051838">
        <w:rPr>
          <w:rFonts w:ascii="Times New Roman" w:hAnsi="Times New Roman" w:eastAsia="Times New Roman" w:cs="Times New Roman"/>
          <w:noProof w:val="0"/>
          <w:color w:val="auto"/>
          <w:sz w:val="24"/>
          <w:szCs w:val="24"/>
          <w:lang w:val="en-US"/>
        </w:rPr>
        <w:t>AI has also been increasingly applied to antim</w:t>
      </w:r>
      <w:r w:rsidRPr="40EE1397" w:rsidR="71051838">
        <w:rPr>
          <w:rFonts w:ascii="Times New Roman" w:hAnsi="Times New Roman" w:eastAsia="Times New Roman" w:cs="Times New Roman"/>
          <w:noProof w:val="0"/>
          <w:sz w:val="24"/>
          <w:szCs w:val="24"/>
          <w:lang w:val="en-US"/>
        </w:rPr>
        <w:t>icrobial resistance detection and prediction using clinical and microbiological datasets. Rapid identification of resistance phenotypes is important because conventional antimicrobial susceptibility testing may require considerable time, potentially delaying selection of appropriate treatment. Machine-learning approaches can analyse diagnostic data to predict resistance patterns and susceptibility outcomes (Aggarwal et al., 2026).</w:t>
      </w:r>
    </w:p>
    <w:p w:rsidR="71051838" w:rsidP="40EE1397" w:rsidRDefault="71051838" w14:paraId="5AC920DC" w14:textId="4FFE4B5C">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A systematic review of AI applications in </w:t>
      </w:r>
      <w:r w:rsidRPr="40EE1397" w:rsidR="71051838">
        <w:rPr>
          <w:rFonts w:ascii="Times New Roman" w:hAnsi="Times New Roman" w:eastAsia="Times New Roman" w:cs="Times New Roman"/>
          <w:i w:val="1"/>
          <w:iCs w:val="1"/>
          <w:noProof w:val="0"/>
          <w:sz w:val="24"/>
          <w:szCs w:val="24"/>
          <w:lang w:val="en-US"/>
        </w:rPr>
        <w:t>Klebsiella pneumoniae</w:t>
      </w:r>
      <w:r w:rsidRPr="40EE1397" w:rsidR="71051838">
        <w:rPr>
          <w:rFonts w:ascii="Times New Roman" w:hAnsi="Times New Roman" w:eastAsia="Times New Roman" w:cs="Times New Roman"/>
          <w:noProof w:val="0"/>
          <w:sz w:val="24"/>
          <w:szCs w:val="24"/>
          <w:lang w:val="en-US"/>
        </w:rPr>
        <w:t xml:space="preserve"> evaluated studies involving resistance detection, susceptibility prediction, minimum inhibitory concentration prediction, and identification of resistance mechanisms. The reviewed studies used different forms of clinical and laboratory information, including mass spectrometry and other diagnostic datasets (Aggarwal et al., 2026).</w:t>
      </w:r>
    </w:p>
    <w:p w:rsidR="71051838" w:rsidP="40EE1397" w:rsidRDefault="71051838" w14:paraId="5089E951" w14:textId="5A90BE2E">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Resistance phenotype prediction represented a major application area, while some studies focused on rapid antimicrobial susceptibility testing or MIC prediction. Carbapenems were among the most frequently investigated antibiotic classes, reflecting the clinical importance of carbapenem-resistant </w:t>
      </w:r>
      <w:r w:rsidRPr="40EE1397" w:rsidR="71051838">
        <w:rPr>
          <w:rFonts w:ascii="Times New Roman" w:hAnsi="Times New Roman" w:eastAsia="Times New Roman" w:cs="Times New Roman"/>
          <w:i w:val="1"/>
          <w:iCs w:val="1"/>
          <w:noProof w:val="0"/>
          <w:sz w:val="24"/>
          <w:szCs w:val="24"/>
          <w:lang w:val="en-US"/>
        </w:rPr>
        <w:t>K. pneumoniae</w:t>
      </w:r>
      <w:r w:rsidRPr="40EE1397" w:rsidR="71051838">
        <w:rPr>
          <w:rFonts w:ascii="Times New Roman" w:hAnsi="Times New Roman" w:eastAsia="Times New Roman" w:cs="Times New Roman"/>
          <w:noProof w:val="0"/>
          <w:sz w:val="24"/>
          <w:szCs w:val="24"/>
          <w:lang w:val="en-US"/>
        </w:rPr>
        <w:t>. Resistance mechanisms involving enzymes such as carbapenemases and extended-spectrum β-lactamases were also investigated (Aggarwal et al., 2026).</w:t>
      </w:r>
    </w:p>
    <w:p w:rsidR="71051838" w:rsidP="40EE1397" w:rsidRDefault="71051838" w14:paraId="4CCC9285" w14:textId="250A34EE">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Machine-learning approaches were more frequently used than deep-learning-only strategies in the reviewed literature. The increasing number of publications in recent years indicates rapid expansion of AI-based AMR research. However, high predictive performance in computational datasets does not automatically translate into clinical implementation, and external validation and prospective clinical assessment remain important (Aggarwal et al., 2026).</w:t>
      </w:r>
    </w:p>
    <w:p w:rsidR="71051838" w:rsidP="40EE1397" w:rsidRDefault="71051838" w14:paraId="1BC5A794" w14:textId="01A67E53">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These observations emphasize that AI should be considered a decision-support and prioritization technology rather than a substitute for biological validation. The same principle applies to computational ligand screening, where predicted binding scores and structural interactions must ultimately be evaluated using experimental approaches.</w:t>
      </w:r>
    </w:p>
    <w:p w:rsidR="71051838" w:rsidP="40EE1397" w:rsidRDefault="71051838" w14:paraId="7DF11FD6" w14:textId="6CDDE02B">
      <w:pPr>
        <w:pStyle w:val="Heading3"/>
        <w:spacing w:before="281" w:beforeAutospacing="off" w:after="281" w:afterAutospacing="off"/>
        <w:rPr>
          <w:rFonts w:ascii="Times New Roman" w:hAnsi="Times New Roman" w:eastAsia="Times New Roman" w:cs="Times New Roman"/>
          <w:b w:val="1"/>
          <w:bCs w:val="1"/>
          <w:noProof w:val="0"/>
          <w:color w:val="auto"/>
          <w:sz w:val="32"/>
          <w:szCs w:val="32"/>
          <w:lang w:val="en-US"/>
        </w:rPr>
      </w:pPr>
      <w:r w:rsidRPr="40EE1397" w:rsidR="71051838">
        <w:rPr>
          <w:rFonts w:ascii="Times New Roman" w:hAnsi="Times New Roman" w:eastAsia="Times New Roman" w:cs="Times New Roman"/>
          <w:b w:val="1"/>
          <w:bCs w:val="1"/>
          <w:noProof w:val="0"/>
          <w:color w:val="auto"/>
          <w:sz w:val="32"/>
          <w:szCs w:val="32"/>
          <w:lang w:val="en-US"/>
        </w:rPr>
        <w:t>2.10 Drug Resistance Prediction Using a Directed Flag Transformer</w:t>
      </w:r>
    </w:p>
    <w:p w:rsidR="71051838" w:rsidP="40EE1397" w:rsidRDefault="71051838" w14:paraId="301388FC" w14:textId="7E144061">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Recent advances in AI have also introduced structural representations of protein–ligand interactions for studying drug resistance. One such approach, DFFormer and the associated CAPTURE framework, was developed to investigate how mutations may influence drug resistance using structural and genomic information (Chen et al., 2025).</w:t>
      </w:r>
    </w:p>
    <w:p w:rsidR="71051838" w:rsidP="40EE1397" w:rsidRDefault="71051838" w14:paraId="22BBBBC4" w14:textId="5DE3395F">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approach represents local protein–ligand structural environments using topological information rather than relying solely on conventional sequence or molecular descriptors. Structural regions surrounding a ligand can be converted into computational representations that capture relationships between atoms and their spatial organization. Transformer-based learning can then be used to identify patterns associated with binding and resistance (Chen et al., 2025).</w:t>
      </w:r>
    </w:p>
    <w:p w:rsidR="71051838" w:rsidP="40EE1397" w:rsidRDefault="71051838" w14:paraId="0EB68873" w14:textId="443F2E7A">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Large collections of experimentally determined protein–ligand complexes were used during model development. Protein–ligand structures from resources including PDBbind and CASF datasets provided information for model pretraining, fine-tuning, and evaluation. This strategy allowed the model to learn structural representations from experimentally characterized complexes before being applied to resistance-related questions (Chen et al., 2025).</w:t>
      </w:r>
    </w:p>
    <w:p w:rsidR="71051838" w:rsidP="40EE1397" w:rsidRDefault="71051838" w14:paraId="68F08105" w14:textId="40525A37">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CAPTURE framework additionally incorporated genomic variation information to examine mutations associated with potential changes in drug response. In the SARS-CoV-2 Mpro application, genomic sequences were compared with a reference sequence to identify variants, after which structural and computational analyses were used to evaluate their potential relationship with drug resistance (Chen et al., 2025).</w:t>
      </w:r>
    </w:p>
    <w:p w:rsidR="71051838" w:rsidP="40EE1397" w:rsidRDefault="71051838" w14:paraId="6D2C66C9" w14:textId="33EF61D4">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study illustrates an important direction in computational drug discovery: combining protein structure, ligand interactions, sequence variation, and AI-based learning within a single analytical framework. Although the biological target differs from MexB, the approach reinforces the value of structural information when investigating drug–target interactions and resistance mechanisms.</w:t>
      </w:r>
    </w:p>
    <w:p w:rsidR="71051838" w:rsidP="40EE1397" w:rsidRDefault="71051838" w14:paraId="3083F265" w14:textId="0B4947CC">
      <w:pPr>
        <w:pStyle w:val="Heading3"/>
        <w:spacing w:before="281" w:beforeAutospacing="off" w:after="281" w:afterAutospacing="off"/>
        <w:rPr>
          <w:rFonts w:ascii="Times New Roman" w:hAnsi="Times New Roman" w:eastAsia="Times New Roman" w:cs="Times New Roman"/>
          <w:b w:val="1"/>
          <w:bCs w:val="1"/>
          <w:noProof w:val="0"/>
          <w:color w:val="auto"/>
          <w:sz w:val="32"/>
          <w:szCs w:val="32"/>
          <w:lang w:val="en-US"/>
        </w:rPr>
      </w:pPr>
      <w:r w:rsidRPr="40EE1397" w:rsidR="71051838">
        <w:rPr>
          <w:rFonts w:ascii="Times New Roman" w:hAnsi="Times New Roman" w:eastAsia="Times New Roman" w:cs="Times New Roman"/>
          <w:b w:val="1"/>
          <w:bCs w:val="1"/>
          <w:noProof w:val="0"/>
          <w:color w:val="auto"/>
          <w:sz w:val="32"/>
          <w:szCs w:val="32"/>
          <w:lang w:val="en-US"/>
        </w:rPr>
        <w:t>2.11 Relevance of the Literature to the Present Study</w:t>
      </w:r>
    </w:p>
    <w:p w:rsidR="71051838" w:rsidP="40EE1397" w:rsidRDefault="71051838" w14:paraId="17082B4F" w14:textId="52370B4B">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studies reviewed above demonstrate several complementary applications of computational and AI-based approaches in modern drug discovery and antimicrobial-resistance research. AI has been used for target identification, analysis of multi-omics datasets, protein-structure prediction, virtual screening, antimicrobial activity prediction, resistance detection, and investigation of mutation-associated changes in drug response (Qiu and Cheng, 2024; Ocaña et al., 2025; Aggarwal et al., 2026).</w:t>
      </w:r>
    </w:p>
    <w:p w:rsidR="71051838" w:rsidP="40EE1397" w:rsidRDefault="71051838" w14:paraId="79C6211B" w14:textId="172B5BE8">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A recurring theme across these studies is that computational approaches are most useful when they are integrated with structural or biological evidence. Large datasets can be used to narrow the search space, while structural modelling can provide information about protein architecture and ligand-binding regions. Molecular docking and related approaches can then be used to investigate the possible interaction of candidate compounds with selected targets.</w:t>
      </w:r>
    </w:p>
    <w:p w:rsidR="71051838" w:rsidP="40EE1397" w:rsidRDefault="71051838" w14:paraId="6728898C" w14:textId="4F836081">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 xml:space="preserve">Multidrug efflux pumps are particularly relevant in this context because they contribute to bacterial resistance by exporting structurally diverse antimicrobial compounds. The RND family transporter MexB of </w:t>
      </w:r>
      <w:r w:rsidRPr="40EE1397" w:rsidR="71051838">
        <w:rPr>
          <w:rFonts w:ascii="Times New Roman" w:hAnsi="Times New Roman" w:eastAsia="Times New Roman" w:cs="Times New Roman"/>
          <w:i w:val="1"/>
          <w:iCs w:val="1"/>
          <w:noProof w:val="0"/>
          <w:sz w:val="24"/>
          <w:szCs w:val="24"/>
          <w:lang w:val="en-US"/>
        </w:rPr>
        <w:t>Pseudomonas aeruginosa</w:t>
      </w:r>
      <w:r w:rsidRPr="40EE1397" w:rsidR="71051838">
        <w:rPr>
          <w:rFonts w:ascii="Times New Roman" w:hAnsi="Times New Roman" w:eastAsia="Times New Roman" w:cs="Times New Roman"/>
          <w:noProof w:val="0"/>
          <w:sz w:val="24"/>
          <w:szCs w:val="24"/>
          <w:lang w:val="en-US"/>
        </w:rPr>
        <w:t xml:space="preserve"> contains multiple functionally important regions within its porter domain and undergoes conformational transitions during substrate transport. Structural studies of RND transporters have demonstrated the importance of asymmetric protomers and a sequential Access–Binding–Extrusion mechanism (Murakami et al., 2006; Seeger et al., 2006; Du et al., 2015).</w:t>
      </w:r>
    </w:p>
    <w:p w:rsidR="71051838" w:rsidP="40EE1397" w:rsidRDefault="71051838" w14:paraId="1FAE4264" w14:textId="59C46E08">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Previous structural work has also identified drug-recognition regions within bacterial multidrug exporters. In MexB, the distal binding region contains several aromatic residues that contribute to the recognition of chemically diverse compounds. Experimental studies have therefore provided a structural basis for investigating the internal drug-binding environment of this transporter (Nakashima et al., 2013).</w:t>
      </w:r>
    </w:p>
    <w:p w:rsidR="71051838" w:rsidP="40EE1397" w:rsidRDefault="71051838" w14:paraId="19295D36" w14:textId="482E628D">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The present study builds upon this structural knowledge by combining conformational-state analysis, machine-learning-based pocket prediction, molecular docking, and residue-level interaction analysis. P2Rank provides a computational method for identifying candidate ligand-binding sites from protein structures (Krivák and Hoksza, 2018), while AutoDock Vina provides a widely used framework for predicting ligand poses and estimating relative binding scores (Eberhardt et al., 2021).</w:t>
      </w:r>
    </w:p>
    <w:p w:rsidR="71051838" w:rsidP="40EE1397" w:rsidRDefault="71051838" w14:paraId="1C5017A1" w14:textId="69149AE6">
      <w:pPr>
        <w:spacing w:before="240" w:beforeAutospacing="off" w:after="240" w:afterAutospacing="off"/>
      </w:pPr>
      <w:r w:rsidRPr="40EE1397" w:rsidR="71051838">
        <w:rPr>
          <w:rFonts w:ascii="Times New Roman" w:hAnsi="Times New Roman" w:eastAsia="Times New Roman" w:cs="Times New Roman"/>
          <w:noProof w:val="0"/>
          <w:sz w:val="24"/>
          <w:szCs w:val="24"/>
          <w:lang w:val="en-US"/>
        </w:rPr>
        <w:t>Together, these approaches provide a rational computational workflow for examining the MexB deep binding pocket and prioritizing compounds for further investigation. Importantly, computational predictions should be considered hypotheses rather than direct evidence of biological inhibition. Experimental biochemical, microbiological, structural, or molecular-dynamics-based validation is therefore required to establish whether computationally prioritized compounds can interfere with MexB function.</w:t>
      </w:r>
    </w:p>
    <w:p w:rsidR="40EE1397" w:rsidP="40EE1397" w:rsidRDefault="40EE1397" w14:paraId="1282E7A6" w14:textId="2760AA0B">
      <w:pPr>
        <w:pStyle w:val="Normal"/>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0F2B8BB6" w:rsidP="40EE1397" w:rsidRDefault="0F2B8BB6" w14:paraId="2F1D16CD" w14:textId="0C1CB808">
      <w:pPr>
        <w:pStyle w:val="Heading1"/>
        <w:rPr>
          <w:rFonts w:ascii="Times New Roman" w:hAnsi="Times New Roman" w:eastAsia="Times New Roman" w:cs="Times New Roman" w:asciiTheme="minorAscii" w:hAnsiTheme="minorAscii" w:eastAsiaTheme="minorAscii" w:cstheme="minorAscii"/>
          <w:noProof w:val="0"/>
          <w:sz w:val="24"/>
          <w:szCs w:val="24"/>
          <w:lang w:val="en-US"/>
        </w:rPr>
      </w:pPr>
    </w:p>
    <w:p w:rsidR="0F2B8BB6" w:rsidP="40EE1397" w:rsidRDefault="0F2B8BB6" w14:paraId="25F50267" w14:textId="5FCC271E">
      <w:pPr>
        <w:pStyle w:val="Normal"/>
        <w:rPr>
          <w:noProof w:val="0"/>
          <w:lang w:val="en-US"/>
        </w:rPr>
      </w:pPr>
    </w:p>
    <w:p w:rsidR="0F2B8BB6" w:rsidP="40EE1397" w:rsidRDefault="0F2B8BB6" w14:paraId="297278F9" w14:textId="4838B4BF">
      <w:pPr>
        <w:pStyle w:val="Normal"/>
        <w:rPr>
          <w:noProof w:val="0"/>
          <w:lang w:val="en-US"/>
        </w:rPr>
      </w:pPr>
    </w:p>
    <w:p w:rsidR="0F2B8BB6" w:rsidP="40EE1397" w:rsidRDefault="0F2B8BB6" w14:paraId="2CA77648" w14:textId="67CE441F">
      <w:pPr>
        <w:pStyle w:val="Normal"/>
        <w:rPr>
          <w:noProof w:val="0"/>
          <w:lang w:val="en-US"/>
        </w:rPr>
      </w:pPr>
    </w:p>
    <w:p w:rsidR="0F2B8BB6" w:rsidP="40EE1397" w:rsidRDefault="0F2B8BB6" w14:paraId="512D2F58" w14:textId="6F33FD17">
      <w:pPr>
        <w:pStyle w:val="Normal"/>
        <w:rPr>
          <w:noProof w:val="0"/>
          <w:lang w:val="en-US"/>
        </w:rPr>
      </w:pPr>
    </w:p>
    <w:p w:rsidR="0F2B8BB6" w:rsidP="40EE1397" w:rsidRDefault="0F2B8BB6" w14:paraId="2968421B" w14:textId="53458358">
      <w:pPr>
        <w:pStyle w:val="Normal"/>
        <w:rPr>
          <w:noProof w:val="0"/>
          <w:lang w:val="en-US"/>
        </w:rPr>
      </w:pPr>
    </w:p>
    <w:p w:rsidR="0F2B8BB6" w:rsidP="40EE1397" w:rsidRDefault="0F2B8BB6" w14:paraId="3AE87762" w14:textId="276D643E">
      <w:pPr>
        <w:pStyle w:val="Normal"/>
        <w:rPr>
          <w:noProof w:val="0"/>
          <w:lang w:val="en-US"/>
        </w:rPr>
      </w:pPr>
    </w:p>
    <w:p w:rsidR="0F2B8BB6" w:rsidP="40EE1397" w:rsidRDefault="0F2B8BB6" w14:paraId="6A087E24" w14:textId="0A18A3E4">
      <w:pPr>
        <w:pStyle w:val="Normal"/>
        <w:rPr>
          <w:noProof w:val="0"/>
          <w:lang w:val="en-US"/>
        </w:rPr>
      </w:pPr>
    </w:p>
    <w:p w:rsidR="0F2B8BB6" w:rsidP="40EE1397" w:rsidRDefault="0F2B8BB6" w14:paraId="6725AEF5" w14:textId="57B07E6E">
      <w:pPr>
        <w:pStyle w:val="Heading1"/>
        <w:rPr>
          <w:noProof w:val="0"/>
          <w:lang w:val="en-US"/>
        </w:rPr>
      </w:pPr>
    </w:p>
    <w:p w:rsidR="0F2B8BB6" w:rsidP="40EE1397" w:rsidRDefault="0F2B8BB6" w14:paraId="76664744" w14:textId="500E4E0F">
      <w:pPr>
        <w:pStyle w:val="Normal"/>
        <w:rPr>
          <w:noProof w:val="0"/>
          <w:lang w:val="en-US"/>
        </w:rPr>
      </w:pPr>
    </w:p>
    <w:p w:rsidR="0F2B8BB6" w:rsidP="40EE1397" w:rsidRDefault="0F2B8BB6" w14:paraId="17E50084" w14:textId="2148505B">
      <w:pPr>
        <w:pStyle w:val="Heading1"/>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r w:rsidRPr="40EE1397" w:rsidR="6BEEB27C">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3.</w:t>
      </w:r>
      <w:r w:rsidRPr="40EE1397" w:rsidR="474DF94A">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Methodology</w:t>
      </w:r>
    </w:p>
    <w:p w:rsidR="4950BD27" w:rsidP="40EE1397" w:rsidRDefault="4950BD27" w14:paraId="6228B88A" w14:textId="0BBFFB3A">
      <w:pPr>
        <w:pStyle w:val="Title"/>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328A0B7A">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3.1 </w:t>
      </w:r>
      <w:r w:rsidRPr="40EE1397" w:rsidR="7669321B">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Target Structural Modeling</w:t>
      </w:r>
    </w:p>
    <w:p w:rsidR="4992C6AE" w:rsidP="40EE1397" w:rsidRDefault="4992C6AE" w14:paraId="49EE1538" w14:textId="15A20348">
      <w:pPr>
        <w:pStyle w:val="Subtitle"/>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40EE1397" w:rsidR="68363C71">
        <w:rPr>
          <w:rFonts w:ascii="Times New Roman" w:hAnsi="Times New Roman" w:eastAsia="Times New Roman" w:cs="Times New Roman" w:asciiTheme="minorAscii" w:hAnsiTheme="minorAscii" w:eastAsiaTheme="minorAscii" w:cstheme="minorAscii"/>
          <w:noProof w:val="0"/>
          <w:color w:val="auto"/>
          <w:sz w:val="28"/>
          <w:szCs w:val="28"/>
          <w:lang w:val="en-US"/>
        </w:rPr>
        <w:t>Data Sourcing:</w:t>
      </w:r>
    </w:p>
    <w:p w:rsidR="47A08618" w:rsidP="40EE1397" w:rsidRDefault="47A08618" w14:paraId="0C6E4C3A" w14:textId="3AF3EC9C">
      <w:pPr>
        <w:pStyle w:val="Normal"/>
        <w:spacing w:before="360" w:beforeAutospacing="off" w:after="180" w:afterAutospacing="off"/>
        <w:ind/>
      </w:pPr>
      <w:r w:rsidRPr="40EE1397" w:rsidR="5D6B33E2">
        <w:rPr>
          <w:rFonts w:ascii="Times New Roman" w:hAnsi="Times New Roman" w:eastAsia="Times New Roman" w:cs="Times New Roman" w:asciiTheme="minorAscii" w:hAnsiTheme="minorAscii" w:eastAsiaTheme="minorAscii" w:cstheme="minorAscii"/>
          <w:noProof w:val="0"/>
          <w:color w:val="auto"/>
          <w:lang w:val="en-US"/>
        </w:rPr>
        <w:t xml:space="preserve">Target sequences from the </w:t>
      </w:r>
      <w:r w:rsidRPr="40EE1397" w:rsidR="5D6B33E2">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Comprehensive Antibiotic Resistance Database were retrieved. </w:t>
      </w:r>
      <w:r w:rsidRPr="40EE1397" w:rsidR="5D6B33E2">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Focus was</w:t>
      </w:r>
      <w:r w:rsidRPr="40EE1397" w:rsidR="5D6B33E2">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on high-priority RND pump </w:t>
      </w:r>
      <w:r w:rsidRPr="40EE1397" w:rsidR="5D6B33E2">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MexB</w:t>
      </w:r>
      <w:r w:rsidRPr="40EE1397" w:rsidR="5D6B33E2">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w:t>
      </w:r>
      <w:r w:rsidRPr="40EE1397" w:rsidR="5D6B33E2">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auto"/>
          <w:sz w:val="24"/>
          <w:szCs w:val="24"/>
          <w:u w:val="none"/>
          <w:lang w:val="en-US"/>
        </w:rPr>
        <w:t>P. aeruginosa</w:t>
      </w:r>
      <w:r w:rsidRPr="40EE1397" w:rsidR="5D6B33E2">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w:t>
      </w:r>
      <w:r w:rsidRPr="40EE1397" w:rsidR="3EEC327D">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w:t>
      </w:r>
      <w:r w:rsidRPr="40EE1397" w:rsidR="3EEC327D">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2F5C0049">
        <w:rPr>
          <w:rFonts w:ascii="Times New Roman" w:hAnsi="Times New Roman" w:eastAsia="Times New Roman" w:cs="Times New Roman" w:asciiTheme="minorAscii" w:hAnsiTheme="minorAscii" w:eastAsiaTheme="minorAscii" w:cstheme="minorAscii"/>
          <w:noProof w:val="0"/>
          <w:sz w:val="24"/>
          <w:szCs w:val="24"/>
          <w:lang w:val="en-US"/>
        </w:rPr>
        <w:t>Du et al., 2015</w:t>
      </w:r>
      <w:r w:rsidRPr="40EE1397" w:rsidR="3EEC327D">
        <w:rPr>
          <w:rFonts w:ascii="Times New Roman" w:hAnsi="Times New Roman" w:eastAsia="Times New Roman" w:cs="Times New Roman" w:asciiTheme="minorAscii" w:hAnsiTheme="minorAscii" w:eastAsiaTheme="minorAscii" w:cstheme="minorAscii"/>
          <w:noProof w:val="0"/>
          <w:color w:val="auto"/>
          <w:u w:val="none"/>
          <w:lang w:val="en-US"/>
        </w:rPr>
        <w:t>).</w:t>
      </w:r>
    </w:p>
    <w:p w:rsidR="47A08618" w:rsidP="40EE1397" w:rsidRDefault="47A08618" w14:paraId="5C3FA7FC" w14:textId="0DD8FE6E">
      <w:pPr>
        <w:pStyle w:val="Normal"/>
        <w:spacing w:before="360" w:beforeAutospacing="off" w:after="180" w:afterAutospacing="off"/>
        <w:ind/>
      </w:pP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8"/>
          <w:szCs w:val="28"/>
          <w:u w:val="none"/>
          <w:lang w:val="en-US"/>
        </w:rPr>
        <w:t>Specific Target Sequences</w:t>
      </w:r>
      <w:r w:rsidRPr="40EE1397" w:rsidR="6A7C22FF">
        <w:rPr>
          <w:rFonts w:ascii="Times New Roman" w:hAnsi="Times New Roman" w:eastAsia="Times New Roman" w:cs="Times New Roman" w:asciiTheme="minorAscii" w:hAnsiTheme="minorAscii" w:eastAsiaTheme="minorAscii" w:cstheme="minorAscii"/>
          <w:b w:val="0"/>
          <w:bCs w:val="0"/>
          <w:strike w:val="0"/>
          <w:dstrike w:val="0"/>
          <w:noProof w:val="0"/>
          <w:color w:val="auto"/>
          <w:sz w:val="28"/>
          <w:szCs w:val="28"/>
          <w:u w:val="none"/>
          <w:lang w:val="en-US"/>
        </w:rPr>
        <w:t xml:space="preserve"> were retrieved</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8"/>
          <w:szCs w:val="28"/>
          <w:u w:val="none"/>
          <w:lang w:val="en-US"/>
        </w:rPr>
        <w:t xml:space="preserve"> </w:t>
      </w:r>
      <w:r w:rsidRPr="40EE1397" w:rsidR="67D6FB6C">
        <w:rPr>
          <w:rFonts w:ascii="Times New Roman" w:hAnsi="Times New Roman" w:eastAsia="Times New Roman" w:cs="Times New Roman" w:asciiTheme="minorAscii" w:hAnsiTheme="minorAscii" w:eastAsiaTheme="minorAscii" w:cstheme="minorAscii"/>
          <w:b w:val="0"/>
          <w:bCs w:val="0"/>
          <w:strike w:val="0"/>
          <w:dstrike w:val="0"/>
          <w:noProof w:val="0"/>
          <w:color w:val="auto"/>
          <w:sz w:val="28"/>
          <w:szCs w:val="28"/>
          <w:u w:val="none"/>
          <w:lang w:val="en-US"/>
        </w:rPr>
        <w:t>m</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8"/>
          <w:szCs w:val="28"/>
          <w:u w:val="none"/>
          <w:lang w:val="en-US"/>
        </w:rPr>
        <w:t>anually</w:t>
      </w:r>
      <w:r w:rsidRPr="40EE1397" w:rsidR="7FAA0C3B">
        <w:rPr>
          <w:rFonts w:ascii="Times New Roman" w:hAnsi="Times New Roman" w:eastAsia="Times New Roman" w:cs="Times New Roman" w:asciiTheme="minorAscii" w:hAnsiTheme="minorAscii" w:eastAsiaTheme="minorAscii" w:cstheme="minorAscii"/>
          <w:b w:val="0"/>
          <w:bCs w:val="0"/>
          <w:strike w:val="0"/>
          <w:dstrike w:val="0"/>
          <w:noProof w:val="0"/>
          <w:color w:val="auto"/>
          <w:sz w:val="28"/>
          <w:szCs w:val="28"/>
          <w:u w:val="none"/>
          <w:lang w:val="en-US"/>
        </w:rPr>
        <w:t>:</w:t>
      </w:r>
    </w:p>
    <w:p w:rsidR="47A08618" w:rsidP="40EE1397" w:rsidRDefault="47A08618" w14:paraId="2875C18F" w14:textId="4A514017">
      <w:pPr>
        <w:pStyle w:val="Normal"/>
        <w:spacing w:before="360" w:beforeAutospacing="off" w:after="180" w:afterAutospacing="off"/>
        <w:ind/>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pPr>
      <w:r w:rsidRPr="40EE1397" w:rsidR="06CBA9DC">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MexB</w:t>
      </w:r>
      <w:r w:rsidRPr="40EE1397" w:rsidR="06CBA9DC">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was searched on</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w:t>
      </w:r>
      <w:r w:rsidRPr="40EE1397" w:rsidR="7A1B1271">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the search</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bar on the </w:t>
      </w:r>
      <w:hyperlink r:id="Re652cd249e604e47">
        <w:r w:rsidRPr="40EE1397" w:rsidR="118C1619">
          <w:rPr>
            <w:rStyle w:val="Hyperlink"/>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single"/>
            <w:lang w:val="en-US"/>
          </w:rPr>
          <w:t>CARD Homepage</w:t>
        </w:r>
      </w:hyperlink>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w:t>
      </w:r>
      <w:r w:rsidRPr="40EE1397" w:rsidR="1589D4D6">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Once results are </w:t>
      </w:r>
      <w:r w:rsidRPr="40EE1397" w:rsidR="0AF2BBB6">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seen,</w:t>
      </w:r>
      <w:r w:rsidRPr="40EE1397" w:rsidR="1589D4D6">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specific</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entry linked to its </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Antibiotic Resistance Ontology (ARO)</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classification</w:t>
      </w:r>
      <w:r w:rsidRPr="40EE1397" w:rsidR="2CA06980">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was </w:t>
      </w:r>
      <w:r w:rsidRPr="40EE1397" w:rsidR="6591FEFA">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selected. Then</w:t>
      </w:r>
      <w:r w:rsidRPr="40EE1397" w:rsidR="3F2D64AA">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followed by </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Scroll</w:t>
      </w:r>
      <w:r w:rsidRPr="40EE1397" w:rsidR="0D8B1FBB">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ing</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down to the </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Reference Sequences</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section on the </w:t>
      </w:r>
      <w:r w:rsidRPr="40EE1397" w:rsidR="176F000A">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gene</w:t>
      </w:r>
      <w:r w:rsidRPr="40EE1397" w:rsidR="118C1619">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page to view, copy, or download the FASTA-formatted sequences for that specific target.</w:t>
      </w:r>
      <w:r w:rsidRPr="40EE1397" w:rsidR="2838738C">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The </w:t>
      </w:r>
      <w:r w:rsidRPr="40EE1397" w:rsidR="2838738C">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fasta</w:t>
      </w:r>
      <w:r w:rsidRPr="40EE1397" w:rsidR="2838738C">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sequence for the </w:t>
      </w:r>
      <w:r w:rsidRPr="40EE1397" w:rsidR="2838738C">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MexB</w:t>
      </w:r>
      <w:r w:rsidRPr="40EE1397" w:rsidR="2838738C">
        <w:rPr>
          <w:rFonts w:ascii="Times New Roman" w:hAnsi="Times New Roman" w:eastAsia="Times New Roman" w:cs="Times New Roman" w:asciiTheme="minorAscii" w:hAnsiTheme="minorAscii" w:eastAsiaTheme="minorAscii" w:cstheme="minorAscii"/>
          <w:b w:val="0"/>
          <w:bCs w:val="0"/>
          <w:strike w:val="0"/>
          <w:dstrike w:val="0"/>
          <w:noProof w:val="0"/>
          <w:color w:val="auto"/>
          <w:sz w:val="24"/>
          <w:szCs w:val="24"/>
          <w:u w:val="none"/>
          <w:lang w:val="en-US"/>
        </w:rPr>
        <w:t xml:space="preserve"> protein was copied.</w:t>
      </w:r>
    </w:p>
    <w:p w:rsidR="44A8EE09" w:rsidP="40EE1397" w:rsidRDefault="44A8EE09" w14:paraId="77DDB619" w14:textId="21A3FC77">
      <w:pPr>
        <w:pStyle w:val="Normal"/>
      </w:pPr>
      <w:r w:rsidRPr="40EE1397" w:rsidR="44A8EE09">
        <w:rPr>
          <w:rFonts w:ascii="Times New Roman" w:hAnsi="Times New Roman" w:eastAsia="Times New Roman" w:cs="Times New Roman" w:asciiTheme="minorAscii" w:hAnsiTheme="minorAscii" w:eastAsiaTheme="minorAscii" w:cstheme="minorAscii"/>
          <w:b w:val="0"/>
          <w:bCs w:val="0"/>
          <w:strike w:val="0"/>
          <w:dstrike w:val="0"/>
          <w:noProof w:val="0"/>
          <w:sz w:val="28"/>
          <w:szCs w:val="28"/>
          <w:u w:val="none"/>
          <w:lang w:val="en-US"/>
        </w:rPr>
        <w:t>Conformational Sampling:</w:t>
      </w:r>
    </w:p>
    <w:p w:rsidR="2DAC56E2" w:rsidP="40EE1397" w:rsidRDefault="2DAC56E2" w14:paraId="1CA70630" w14:textId="02D398D9">
      <w:pPr>
        <w:pStyle w:val="Normal"/>
      </w:pPr>
      <w:r w:rsidRPr="40EE1397" w:rsidR="2DAC56E2">
        <w:rPr>
          <w:rFonts w:ascii="Times New Roman" w:hAnsi="Times New Roman" w:eastAsia="Times New Roman" w:cs="Times New Roman" w:asciiTheme="minorAscii" w:hAnsiTheme="minorAscii" w:eastAsiaTheme="minorAscii" w:cstheme="minorAscii"/>
          <w:b w:val="0"/>
          <w:bCs w:val="0"/>
          <w:noProof w:val="0"/>
          <w:lang w:val="en-US"/>
        </w:rPr>
        <w:t xml:space="preserve">To robustly train machine learning or molecular docking models against the peristaltic functional cycle of bacterial efflux pumps, it is necessary to gather structural snapshots representing all three asymmetrical functional states: </w:t>
      </w:r>
      <w:r w:rsidRPr="40EE1397" w:rsidR="2DAC56E2">
        <w:rPr>
          <w:rFonts w:ascii="Times New Roman" w:hAnsi="Times New Roman" w:eastAsia="Times New Roman" w:cs="Times New Roman" w:asciiTheme="minorAscii" w:hAnsiTheme="minorAscii" w:eastAsiaTheme="minorAscii" w:cstheme="minorAscii"/>
          <w:b w:val="0"/>
          <w:bCs w:val="0"/>
          <w:strike w:val="0"/>
          <w:dstrike w:val="0"/>
          <w:noProof w:val="0"/>
          <w:sz w:val="24"/>
          <w:szCs w:val="24"/>
          <w:u w:val="none"/>
          <w:lang w:val="en-US"/>
        </w:rPr>
        <w:t>Access/Loose (L)</w:t>
      </w:r>
      <w:r w:rsidRPr="40EE1397" w:rsidR="2DAC56E2">
        <w:rPr>
          <w:rFonts w:ascii="Times New Roman" w:hAnsi="Times New Roman" w:eastAsia="Times New Roman" w:cs="Times New Roman" w:asciiTheme="minorAscii" w:hAnsiTheme="minorAscii" w:eastAsiaTheme="minorAscii" w:cstheme="minorAscii"/>
          <w:b w:val="0"/>
          <w:bCs w:val="0"/>
          <w:noProof w:val="0"/>
          <w:lang w:val="en-US"/>
        </w:rPr>
        <w:t xml:space="preserve">, </w:t>
      </w:r>
      <w:r w:rsidRPr="40EE1397" w:rsidR="2DAC56E2">
        <w:rPr>
          <w:rFonts w:ascii="Times New Roman" w:hAnsi="Times New Roman" w:eastAsia="Times New Roman" w:cs="Times New Roman" w:asciiTheme="minorAscii" w:hAnsiTheme="minorAscii" w:eastAsiaTheme="minorAscii" w:cstheme="minorAscii"/>
          <w:b w:val="0"/>
          <w:bCs w:val="0"/>
          <w:strike w:val="0"/>
          <w:dstrike w:val="0"/>
          <w:noProof w:val="0"/>
          <w:sz w:val="24"/>
          <w:szCs w:val="24"/>
          <w:u w:val="none"/>
          <w:lang w:val="en-US"/>
        </w:rPr>
        <w:t>Binding/Tight (T)</w:t>
      </w:r>
      <w:r w:rsidRPr="40EE1397" w:rsidR="2DAC56E2">
        <w:rPr>
          <w:rFonts w:ascii="Times New Roman" w:hAnsi="Times New Roman" w:eastAsia="Times New Roman" w:cs="Times New Roman" w:asciiTheme="minorAscii" w:hAnsiTheme="minorAscii" w:eastAsiaTheme="minorAscii" w:cstheme="minorAscii"/>
          <w:b w:val="0"/>
          <w:bCs w:val="0"/>
          <w:noProof w:val="0"/>
          <w:lang w:val="en-US"/>
        </w:rPr>
        <w:t xml:space="preserve">, and </w:t>
      </w:r>
      <w:r w:rsidRPr="40EE1397" w:rsidR="2DAC56E2">
        <w:rPr>
          <w:rFonts w:ascii="Times New Roman" w:hAnsi="Times New Roman" w:eastAsia="Times New Roman" w:cs="Times New Roman" w:asciiTheme="minorAscii" w:hAnsiTheme="minorAscii" w:eastAsiaTheme="minorAscii" w:cstheme="minorAscii"/>
          <w:b w:val="0"/>
          <w:bCs w:val="0"/>
          <w:strike w:val="0"/>
          <w:dstrike w:val="0"/>
          <w:noProof w:val="0"/>
          <w:sz w:val="24"/>
          <w:szCs w:val="24"/>
          <w:u w:val="none"/>
          <w:lang w:val="en-US"/>
        </w:rPr>
        <w:t>Extrusion/Open (O)</w:t>
      </w:r>
      <w:r w:rsidRPr="40EE1397" w:rsidR="5704A170">
        <w:rPr>
          <w:rFonts w:ascii="Times New Roman" w:hAnsi="Times New Roman" w:eastAsia="Times New Roman" w:cs="Times New Roman" w:asciiTheme="minorAscii" w:hAnsiTheme="minorAscii" w:eastAsiaTheme="minorAscii" w:cstheme="minorAscii"/>
          <w:b w:val="0"/>
          <w:bCs w:val="0"/>
          <w:strike w:val="0"/>
          <w:dstrike w:val="0"/>
          <w:noProof w:val="0"/>
          <w:sz w:val="24"/>
          <w:szCs w:val="24"/>
          <w:u w:val="none"/>
          <w:lang w:val="en-US"/>
        </w:rPr>
        <w:t xml:space="preserve"> (</w:t>
      </w:r>
      <w:r w:rsidRPr="40EE1397" w:rsidR="5704A170">
        <w:rPr>
          <w:rFonts w:ascii="Times New Roman" w:hAnsi="Times New Roman" w:eastAsia="Times New Roman" w:cs="Times New Roman" w:asciiTheme="minorAscii" w:hAnsiTheme="minorAscii" w:eastAsiaTheme="minorAscii" w:cstheme="minorAscii"/>
          <w:b w:val="0"/>
          <w:bCs w:val="0"/>
          <w:noProof w:val="0"/>
          <w:lang w:val="en-US"/>
        </w:rPr>
        <w:t>Murakami et al., 2006).</w:t>
      </w:r>
    </w:p>
    <w:p w:rsidR="59CBBF15" w:rsidP="40EE1397" w:rsidRDefault="59CBBF15" w14:paraId="0680EFC6" w14:textId="196A8BFF">
      <w:pPr>
        <w:pStyle w:val="Normal"/>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0EE1397" w:rsidR="59CBBF15">
        <w:rPr>
          <w:rFonts w:ascii="Times New Roman" w:hAnsi="Times New Roman" w:eastAsia="Times New Roman" w:cs="Times New Roman" w:asciiTheme="minorAscii" w:hAnsiTheme="minorAscii" w:eastAsiaTheme="minorAscii" w:cstheme="minorAscii"/>
          <w:noProof w:val="0"/>
          <w:lang w:val="en-US"/>
        </w:rPr>
        <w:t>Identifying</w:t>
      </w:r>
      <w:r w:rsidRPr="40EE1397" w:rsidR="59CBBF15">
        <w:rPr>
          <w:rFonts w:ascii="Times New Roman" w:hAnsi="Times New Roman" w:eastAsia="Times New Roman" w:cs="Times New Roman" w:asciiTheme="minorAscii" w:hAnsiTheme="minorAscii" w:eastAsiaTheme="minorAscii" w:cstheme="minorAscii"/>
          <w:noProof w:val="0"/>
          <w:lang w:val="en-US"/>
        </w:rPr>
        <w:t xml:space="preserve"> Key Efflux Pump PDB IDs By </w:t>
      </w:r>
      <w:r w:rsidRPr="40EE1397" w:rsidR="59CBBF15">
        <w:rPr>
          <w:rFonts w:ascii="Times New Roman" w:hAnsi="Times New Roman" w:eastAsia="Times New Roman" w:cs="Times New Roman" w:asciiTheme="minorAscii" w:hAnsiTheme="minorAscii" w:eastAsiaTheme="minorAscii" w:cstheme="minorAscii"/>
          <w:noProof w:val="0"/>
          <w:lang w:val="en-US"/>
        </w:rPr>
        <w:t>Conf</w:t>
      </w:r>
      <w:r w:rsidRPr="40EE1397" w:rsidR="59CBBF15">
        <w:rPr>
          <w:rFonts w:ascii="Times New Roman" w:hAnsi="Times New Roman" w:eastAsia="Times New Roman" w:cs="Times New Roman" w:asciiTheme="minorAscii" w:hAnsiTheme="minorAscii" w:eastAsiaTheme="minorAscii" w:cstheme="minorAscii"/>
          <w:noProof w:val="0"/>
          <w:lang w:val="en-US"/>
        </w:rPr>
        <w:t>ormation</w:t>
      </w:r>
      <w:r w:rsidRPr="40EE1397" w:rsidR="1FE0A38C">
        <w:rPr>
          <w:rFonts w:ascii="Times New Roman" w:hAnsi="Times New Roman" w:eastAsia="Times New Roman" w:cs="Times New Roman" w:asciiTheme="minorAscii" w:hAnsiTheme="minorAscii" w:eastAsiaTheme="minorAscii" w:cstheme="minorAscii"/>
          <w:noProof w:val="0"/>
          <w:color w:val="auto"/>
          <w:lang w:val="en-US"/>
        </w:rPr>
        <w:t xml:space="preserve"> (</w:t>
      </w:r>
      <w:r w:rsidRPr="40EE1397" w:rsidR="1FE0A38C">
        <w:rPr>
          <w:rFonts w:ascii="Times New Roman" w:hAnsi="Times New Roman" w:eastAsia="Times New Roman" w:cs="Times New Roman" w:asciiTheme="minorAscii" w:hAnsiTheme="minorAscii" w:eastAsiaTheme="minorAscii" w:cstheme="minorAscii"/>
          <w:noProof w:val="0"/>
          <w:color w:val="auto"/>
          <w:sz w:val="24"/>
          <w:szCs w:val="24"/>
          <w:lang w:val="en-US"/>
        </w:rPr>
        <w:t>Berman et al., 2000):</w:t>
      </w:r>
    </w:p>
    <w:tbl>
      <w:tblPr>
        <w:tblStyle w:val="TableGrid"/>
        <w:tblW w:w="6480" w:type="dxa"/>
        <w:tblInd w:w="720" w:type="dxa"/>
        <w:tblLook w:val="06A0" w:firstRow="1" w:lastRow="0" w:firstColumn="1" w:lastColumn="0" w:noHBand="1" w:noVBand="1"/>
      </w:tblPr>
      <w:tblGrid>
        <w:gridCol w:w="2160"/>
        <w:gridCol w:w="2160"/>
        <w:gridCol w:w="2160"/>
      </w:tblGrid>
      <w:tr w:rsidR="57AF9593" w:rsidTr="40EE1397" w14:paraId="136C6795">
        <w:trPr>
          <w:trHeight w:val="300"/>
        </w:trPr>
        <w:tc>
          <w:tcPr>
            <w:tcW w:w="2160" w:type="dxa"/>
            <w:tcMar/>
          </w:tcPr>
          <w:p w:rsidR="57AF9593" w:rsidP="40EE1397" w:rsidRDefault="57AF9593" w14:paraId="379D1B81" w14:textId="378025D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strike w:val="0"/>
                <w:dstrike w:val="0"/>
                <w:color w:val="auto"/>
                <w:sz w:val="24"/>
                <w:szCs w:val="24"/>
                <w:u w:val="none"/>
              </w:rPr>
            </w:pPr>
            <w:r w:rsidRPr="40EE1397" w:rsidR="30FD14EE">
              <w:rPr>
                <w:rFonts w:ascii="Times New Roman" w:hAnsi="Times New Roman" w:eastAsia="Times New Roman" w:cs="Times New Roman" w:asciiTheme="minorAscii" w:hAnsiTheme="minorAscii" w:eastAsiaTheme="minorAscii" w:cstheme="minorAscii"/>
                <w:b w:val="1"/>
                <w:bCs w:val="1"/>
                <w:strike w:val="0"/>
                <w:dstrike w:val="0"/>
                <w:color w:val="auto"/>
                <w:sz w:val="24"/>
                <w:szCs w:val="24"/>
                <w:u w:val="none"/>
              </w:rPr>
              <w:t>Efflux Pump</w:t>
            </w:r>
            <w:r w:rsidRPr="40EE1397" w:rsidR="3639A70C">
              <w:rPr>
                <w:rFonts w:ascii="Times New Roman" w:hAnsi="Times New Roman" w:eastAsia="Times New Roman" w:cs="Times New Roman" w:asciiTheme="minorAscii" w:hAnsiTheme="minorAscii" w:eastAsiaTheme="minorAscii" w:cstheme="minorAscii"/>
                <w:b w:val="1"/>
                <w:bCs w:val="1"/>
                <w:strike w:val="0"/>
                <w:dstrike w:val="0"/>
                <w:color w:val="auto"/>
                <w:sz w:val="24"/>
                <w:szCs w:val="24"/>
                <w:u w:val="none"/>
              </w:rPr>
              <w:t xml:space="preserve"> </w:t>
            </w:r>
            <w:r w:rsidRPr="40EE1397" w:rsidR="30FD14EE">
              <w:rPr>
                <w:rFonts w:ascii="Times New Roman" w:hAnsi="Times New Roman" w:eastAsia="Times New Roman" w:cs="Times New Roman" w:asciiTheme="minorAscii" w:hAnsiTheme="minorAscii" w:eastAsiaTheme="minorAscii" w:cstheme="minorAscii"/>
                <w:b w:val="1"/>
                <w:bCs w:val="1"/>
                <w:strike w:val="0"/>
                <w:dstrike w:val="0"/>
                <w:color w:val="auto"/>
                <w:sz w:val="24"/>
                <w:szCs w:val="24"/>
                <w:u w:val="none"/>
              </w:rPr>
              <w:t>Component</w:t>
            </w:r>
          </w:p>
        </w:tc>
        <w:tc>
          <w:tcPr>
            <w:tcW w:w="2160" w:type="dxa"/>
            <w:tcMar/>
          </w:tcPr>
          <w:p w:rsidR="2753628E" w:rsidP="40EE1397" w:rsidRDefault="2753628E" w14:paraId="5EA36A1C" w14:textId="77604D99">
            <w:pPr>
              <w:pStyle w:val="ListParagraph"/>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0EE1397" w:rsidR="2A8537FC">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Organism</w:t>
            </w:r>
          </w:p>
        </w:tc>
        <w:tc>
          <w:tcPr>
            <w:tcW w:w="2160" w:type="dxa"/>
            <w:tcMar/>
          </w:tcPr>
          <w:p w:rsidR="2753628E" w:rsidP="40EE1397" w:rsidRDefault="2753628E" w14:paraId="1ABDB35F" w14:textId="641D45E2">
            <w:pPr>
              <w:pStyle w:val="Normal"/>
              <w:ind w:left="0"/>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40EE1397" w:rsidR="2A8537FC">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Key PDB IDs</w:t>
            </w:r>
          </w:p>
        </w:tc>
      </w:tr>
      <w:tr w:rsidR="57AF9593" w:rsidTr="40EE1397" w14:paraId="5DF9892F">
        <w:trPr>
          <w:trHeight w:val="300"/>
        </w:trPr>
        <w:tc>
          <w:tcPr>
            <w:tcW w:w="2160" w:type="dxa"/>
            <w:tcMar/>
          </w:tcPr>
          <w:p w:rsidR="40EE1397" w:rsidP="40EE1397" w:rsidRDefault="40EE1397" w14:paraId="693618A0" w14:textId="54C5B869">
            <w:pPr>
              <w:pStyle w:val="Normal"/>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color w:val="auto"/>
                <w:sz w:val="24"/>
                <w:szCs w:val="24"/>
              </w:rPr>
            </w:pPr>
            <w:hyperlink r:id="R6a49601d844a4fce">
              <w:r w:rsidRPr="40EE1397" w:rsidR="40EE139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color w:val="auto"/>
                  <w:u w:val="none"/>
                </w:rPr>
                <w:t xml:space="preserve">Multidrug resistance protein MexB </w:t>
              </w:r>
            </w:hyperlink>
            <w:r w:rsidRPr="40EE1397" w:rsidR="40EE1397">
              <w:rPr>
                <w:rFonts w:ascii="Times New Roman" w:hAnsi="Times New Roman" w:eastAsia="Times New Roman" w:cs="Times New Roman" w:asciiTheme="minorAscii" w:hAnsiTheme="minorAscii" w:eastAsiaTheme="minorAscii" w:cstheme="minorAscii"/>
                <w:b w:val="0"/>
                <w:bCs w:val="0"/>
                <w:i w:val="0"/>
                <w:iCs w:val="0"/>
                <w:caps w:val="0"/>
                <w:smallCaps w:val="0"/>
                <w:color w:val="auto"/>
                <w:sz w:val="24"/>
                <w:szCs w:val="24"/>
              </w:rPr>
              <w:t>(protein)</w:t>
            </w:r>
          </w:p>
        </w:tc>
        <w:tc>
          <w:tcPr>
            <w:tcW w:w="2160" w:type="dxa"/>
            <w:tcMar/>
          </w:tcPr>
          <w:p w:rsidR="57AF9593" w:rsidP="40EE1397" w:rsidRDefault="57AF9593" w14:paraId="1DF4D4FB" w14:textId="3C78B951">
            <w:pPr>
              <w:pStyle w:val="Normal"/>
              <w:ind w:left="0"/>
              <w:jc w:val="center"/>
              <w:rPr>
                <w:rFonts w:ascii="Times New Roman" w:hAnsi="Times New Roman" w:eastAsia="Times New Roman" w:cs="Times New Roman" w:asciiTheme="minorAscii" w:hAnsiTheme="minorAscii" w:eastAsiaTheme="minorAscii" w:cstheme="minorAscii"/>
                <w:noProof w:val="0"/>
                <w:color w:val="auto"/>
                <w:lang w:val="en-US"/>
              </w:rPr>
            </w:pPr>
            <w:hyperlink r:id="R45fd3e0692424bab">
              <w:r w:rsidRPr="40EE1397" w:rsidR="29FD38DA">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Pseudomonas aeruginosa PAO1</w:t>
              </w:r>
            </w:hyperlink>
          </w:p>
        </w:tc>
        <w:tc>
          <w:tcPr>
            <w:tcW w:w="2160" w:type="dxa"/>
            <w:tcMar/>
          </w:tcPr>
          <w:p w:rsidR="57AF9593" w:rsidP="40EE1397" w:rsidRDefault="57AF9593" w14:paraId="2005EFFA" w14:textId="165C5052">
            <w:pPr>
              <w:pStyle w:val="Heading3"/>
              <w:shd w:val="clear" w:color="auto" w:fill="FFFFFF" w:themeFill="background1"/>
              <w:spacing w:before="0" w:beforeAutospacing="off" w:after="120"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lang w:val="en-US"/>
              </w:rPr>
            </w:pPr>
            <w:hyperlink r:id="R4d9f7af200e14c46">
              <w:r w:rsidRPr="40EE1397" w:rsidR="7726323D">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3W9I</w:t>
              </w:r>
            </w:hyperlink>
          </w:p>
          <w:p w:rsidR="57AF9593" w:rsidP="40EE1397" w:rsidRDefault="57AF9593" w14:paraId="026BBE15" w14:textId="56F8C732">
            <w:pPr>
              <w:pStyle w:val="ListParagraph"/>
              <w:jc w:val="center"/>
              <w:rPr>
                <w:rFonts w:ascii="Times New Roman" w:hAnsi="Times New Roman" w:eastAsia="Times New Roman" w:cs="Times New Roman" w:asciiTheme="minorAscii" w:hAnsiTheme="minorAscii" w:eastAsiaTheme="minorAscii" w:cstheme="minorAscii"/>
                <w:noProof w:val="0"/>
                <w:color w:val="auto"/>
                <w:lang w:val="en-US"/>
              </w:rPr>
            </w:pPr>
          </w:p>
        </w:tc>
      </w:tr>
      <w:tr w:rsidR="57AF9593" w:rsidTr="40EE1397" w14:paraId="73C82EBB">
        <w:trPr>
          <w:trHeight w:val="300"/>
        </w:trPr>
        <w:tc>
          <w:tcPr>
            <w:tcW w:w="2160" w:type="dxa"/>
            <w:tcMar/>
          </w:tcPr>
          <w:p w:rsidR="7726323D" w:rsidP="40EE1397" w:rsidRDefault="7726323D" w14:paraId="15167211" w14:textId="76E1F45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color w:val="auto"/>
                <w:sz w:val="24"/>
                <w:szCs w:val="24"/>
              </w:rPr>
            </w:pPr>
            <w:hyperlink r:id="R966d6fd36b014737">
              <w:r w:rsidRPr="40EE1397" w:rsidR="7726323D">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color w:val="auto"/>
                  <w:u w:val="none"/>
                </w:rPr>
                <w:t xml:space="preserve">Multidrug resistance protein MexB </w:t>
              </w:r>
            </w:hyperlink>
            <w:r w:rsidRPr="40EE1397" w:rsidR="7726323D">
              <w:rPr>
                <w:rFonts w:ascii="Times New Roman" w:hAnsi="Times New Roman" w:eastAsia="Times New Roman" w:cs="Times New Roman" w:asciiTheme="minorAscii" w:hAnsiTheme="minorAscii" w:eastAsiaTheme="minorAscii" w:cstheme="minorAscii"/>
                <w:b w:val="0"/>
                <w:bCs w:val="0"/>
                <w:i w:val="0"/>
                <w:iCs w:val="0"/>
                <w:caps w:val="0"/>
                <w:smallCaps w:val="0"/>
                <w:color w:val="auto"/>
                <w:sz w:val="24"/>
                <w:szCs w:val="24"/>
              </w:rPr>
              <w:t>(protein)</w:t>
            </w:r>
          </w:p>
        </w:tc>
        <w:tc>
          <w:tcPr>
            <w:tcW w:w="2160" w:type="dxa"/>
            <w:tcMar/>
          </w:tcPr>
          <w:p w:rsidR="40EE1397" w:rsidP="40EE1397" w:rsidRDefault="40EE1397" w14:paraId="017D4433" w14:textId="2D15E6B3">
            <w:pPr>
              <w:pStyle w:val="Normal"/>
              <w:spacing w:before="0" w:beforeAutospacing="off" w:after="0" w:afterAutospacing="off"/>
              <w:jc w:val="center"/>
              <w:rPr>
                <w:rFonts w:ascii="Times New Roman" w:hAnsi="Times New Roman" w:eastAsia="Times New Roman" w:cs="Times New Roman" w:asciiTheme="minorAscii" w:hAnsiTheme="minorAscii" w:eastAsiaTheme="minorAscii" w:cstheme="minorAscii"/>
                <w:color w:val="auto"/>
              </w:rPr>
            </w:pPr>
            <w:hyperlink r:id="Rfa642857b74b4e20">
              <w:r w:rsidRPr="40EE1397" w:rsidR="40EE139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color w:val="auto"/>
                  <w:u w:val="none"/>
                </w:rPr>
                <w:t>Pseudomonas aeruginosa PAO1</w:t>
              </w:r>
            </w:hyperlink>
          </w:p>
        </w:tc>
        <w:tc>
          <w:tcPr>
            <w:tcW w:w="2160" w:type="dxa"/>
            <w:tcMar/>
          </w:tcPr>
          <w:p w:rsidR="40EE1397" w:rsidP="40EE1397" w:rsidRDefault="40EE1397" w14:paraId="2B9692FA" w14:textId="14026F21">
            <w:pPr>
              <w:pStyle w:val="Heading3"/>
              <w:spacing w:before="0" w:beforeAutospacing="off" w:after="120" w:afterAutospacing="off"/>
              <w:jc w:val="center"/>
              <w:rPr>
                <w:rFonts w:ascii="Times New Roman" w:hAnsi="Times New Roman" w:eastAsia="Times New Roman" w:cs="Times New Roman" w:asciiTheme="minorAscii" w:hAnsiTheme="minorAscii" w:eastAsiaTheme="minorAscii" w:cstheme="minorAscii"/>
                <w:b w:val="0"/>
                <w:bCs w:val="0"/>
                <w:i w:val="0"/>
                <w:iCs w:val="0"/>
                <w:caps w:val="0"/>
                <w:smallCaps w:val="0"/>
                <w:color w:val="auto"/>
                <w:sz w:val="24"/>
                <w:szCs w:val="24"/>
              </w:rPr>
            </w:pPr>
            <w:hyperlink r:id="R56d3f549f2ab43ad">
              <w:r w:rsidRPr="40EE1397" w:rsidR="40EE139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color w:val="auto"/>
                  <w:u w:val="none"/>
                </w:rPr>
                <w:t>3W9J</w:t>
              </w:r>
            </w:hyperlink>
          </w:p>
        </w:tc>
      </w:tr>
    </w:tbl>
    <w:p w:rsidR="57AF9593" w:rsidP="40EE1397" w:rsidRDefault="57AF9593" w14:paraId="616B4619" w14:textId="66EC4146">
      <w:pPr>
        <w:pStyle w:val="Normal"/>
        <w:ind w:left="720"/>
        <w:rPr>
          <w:rFonts w:ascii="Times New Roman" w:hAnsi="Times New Roman" w:eastAsia="Times New Roman" w:cs="Times New Roman" w:asciiTheme="minorAscii" w:hAnsiTheme="minorAscii" w:eastAsiaTheme="minorAscii" w:cstheme="minorAscii"/>
          <w:noProof w:val="0"/>
          <w:sz w:val="24"/>
          <w:szCs w:val="24"/>
          <w:lang w:val="en-US"/>
        </w:rPr>
      </w:pPr>
    </w:p>
    <w:p w:rsidR="04A5FC70" w:rsidP="40EE1397" w:rsidRDefault="04A5FC70" w14:paraId="5D2E8A5C" w14:textId="1B0AE12D">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1B1C9C7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3.2 </w:t>
      </w:r>
      <w:r w:rsidRPr="40EE1397" w:rsidR="637F701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Selection and preparation of the </w:t>
      </w:r>
      <w:r w:rsidRPr="40EE1397" w:rsidR="637F701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MexB</w:t>
      </w:r>
      <w:r w:rsidRPr="40EE1397" w:rsidR="637F701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protein structure</w:t>
      </w:r>
    </w:p>
    <w:p w:rsidR="04A5FC70" w:rsidP="40EE1397" w:rsidRDefault="04A5FC70" w14:paraId="443B9AE3" w14:textId="382F90E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The three-dimensional structure of the MexB multidrug efflux transporter from </w:t>
      </w:r>
      <w:r w:rsidRPr="40EE1397" w:rsidR="637F701D">
        <w:rPr>
          <w:rFonts w:ascii="Times New Roman" w:hAnsi="Times New Roman" w:eastAsia="Times New Roman" w:cs="Times New Roman" w:asciiTheme="minorAscii" w:hAnsiTheme="minorAscii" w:eastAsiaTheme="minorAscii" w:cstheme="minorAscii"/>
          <w:i w:val="1"/>
          <w:iCs w:val="1"/>
          <w:noProof w:val="0"/>
          <w:sz w:val="24"/>
          <w:szCs w:val="24"/>
          <w:lang w:val="en-US"/>
        </w:rPr>
        <w:t>Pseudomonas aeruginosa</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was selected from the Protein Data Bank (PDB) using the structure </w:t>
      </w:r>
      <w:r w:rsidRPr="40EE1397" w:rsidR="637F701D">
        <w:rPr>
          <w:rFonts w:ascii="Times New Roman" w:hAnsi="Times New Roman" w:eastAsia="Times New Roman" w:cs="Times New Roman" w:asciiTheme="minorAscii" w:hAnsiTheme="minorAscii" w:eastAsiaTheme="minorAscii" w:cstheme="minorAscii"/>
          <w:b w:val="1"/>
          <w:bCs w:val="1"/>
          <w:noProof w:val="0"/>
          <w:sz w:val="24"/>
          <w:szCs w:val="24"/>
          <w:lang w:val="en-US"/>
        </w:rPr>
        <w:t>3W9I</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The biological assembly containing the MexB homotrimer was used for subsequent structural analysis. The three protomers were designated according to their conformational states as </w:t>
      </w:r>
      <w:r w:rsidRPr="40EE1397" w:rsidR="637F701D">
        <w:rPr>
          <w:rFonts w:ascii="Times New Roman" w:hAnsi="Times New Roman" w:eastAsia="Times New Roman" w:cs="Times New Roman" w:asciiTheme="minorAscii" w:hAnsiTheme="minorAscii" w:eastAsiaTheme="minorAscii" w:cstheme="minorAscii"/>
          <w:b w:val="1"/>
          <w:bCs w:val="1"/>
          <w:noProof w:val="0"/>
          <w:sz w:val="24"/>
          <w:szCs w:val="24"/>
          <w:lang w:val="en-US"/>
        </w:rPr>
        <w:t>Access (chain A), Binding (chain B), and Extrusion (chain C)</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w:t>
      </w:r>
    </w:p>
    <w:p w:rsidR="04A5FC70" w:rsidP="40EE1397" w:rsidRDefault="04A5FC70" w14:paraId="4D96F248" w14:textId="3CC4F801">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The structure was inspected and processed to obtain suitable coordinate files for computational analysis. The three conformational states were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retained</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separately to allow comparison of structural changes associated with the functional transport cycle</w:t>
      </w:r>
      <w:r w:rsidRPr="40EE1397" w:rsidR="3FF9D826">
        <w:rPr>
          <w:rFonts w:ascii="Times New Roman" w:hAnsi="Times New Roman" w:eastAsia="Times New Roman" w:cs="Times New Roman" w:asciiTheme="minorAscii" w:hAnsiTheme="minorAscii" w:eastAsiaTheme="minorAscii" w:cstheme="minorAscii"/>
          <w:noProof w:val="0"/>
          <w:color w:val="auto"/>
          <w:u w:val="none"/>
          <w:lang w:val="en-US"/>
        </w:rPr>
        <w:t xml:space="preserve"> (</w:t>
      </w:r>
      <w:hyperlink r:id="R92ba4f59cb2844bd">
        <w:r w:rsidRPr="40EE1397" w:rsidR="3FF9D826">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Ryosuke </w:t>
        </w:r>
      </w:hyperlink>
      <w:r w:rsidRPr="40EE1397" w:rsidR="3FF9D826">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al.,2013).</w:t>
      </w:r>
    </w:p>
    <w:p w:rsidR="04A5FC70" w:rsidP="40EE1397" w:rsidRDefault="04A5FC70" w14:paraId="402368F2" w14:textId="5070167C">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52194735">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3.3 </w:t>
      </w:r>
      <w:r w:rsidRPr="40EE1397" w:rsidR="637F701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Conformational-state analysis of </w:t>
      </w:r>
      <w:r w:rsidRPr="40EE1397" w:rsidR="637F701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MexB</w:t>
      </w:r>
    </w:p>
    <w:p w:rsidR="04A5FC70" w:rsidP="40EE1397" w:rsidRDefault="04A5FC70" w14:paraId="65C258C9" w14:textId="5E3C272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To characterize the structural differences between the Access, Binding, and Extrusion states, the transmembrane domains (TMDs) of the three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MexB</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protomers were used as structural alignment references. The TMD regions were selected because they provide a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relatively conserved</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structural framework, allowing differences in the porter domains to be examined independently of overall protomer orientation</w:t>
      </w:r>
      <w:r w:rsidRPr="40EE1397" w:rsidR="65E8A119">
        <w:rPr>
          <w:rFonts w:ascii="Times New Roman" w:hAnsi="Times New Roman" w:eastAsia="Times New Roman" w:cs="Times New Roman" w:asciiTheme="minorAscii" w:hAnsiTheme="minorAscii" w:eastAsiaTheme="minorAscii" w:cstheme="minorAscii"/>
          <w:noProof w:val="0"/>
          <w:sz w:val="24"/>
          <w:szCs w:val="24"/>
          <w:lang w:val="en-US"/>
        </w:rPr>
        <w:t xml:space="preserve"> (Helen et al.,2000)</w:t>
      </w:r>
    </w:p>
    <w:p w:rsidR="04A5FC70" w:rsidP="40EE1397" w:rsidRDefault="04A5FC70" w14:paraId="40CB15CF" w14:textId="7DBB602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The Access, Binding, and Extrusion structures were aligned using their corresponding TMD regions. Root-mean-square deviation (RMSD) values were calculated to assess the structural similarity of the TMD regions following superposition.</w:t>
      </w:r>
    </w:p>
    <w:p w:rsidR="04A5FC70" w:rsidP="40EE1397" w:rsidRDefault="04A5FC70" w14:paraId="6B4CADBD" w14:textId="21D1972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The relative movement of the porter domains was subsequently evaluated by measuring distances between selected PN1–PN2 and PC1–PC2 regions in each conformational state. This analysis was used to characterize the progressive opening and closing of the porter domain during the Access → Binding → Extrusion transition.</w:t>
      </w:r>
    </w:p>
    <w:p w:rsidR="04A5FC70" w:rsidP="40EE1397" w:rsidRDefault="04A5FC70" w14:paraId="39BE197E" w14:textId="6D4B5D6A">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378B4F3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3.4 </w:t>
      </w:r>
      <w:r w:rsidRPr="40EE1397" w:rsidR="637F701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Identification of functionally relevant residues</w:t>
      </w:r>
    </w:p>
    <w:p w:rsidR="04A5FC70" w:rsidP="40EE1397" w:rsidRDefault="04A5FC70" w14:paraId="0631E944" w14:textId="7980AF6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Residues associated with the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MexB</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proton-relay mechanism were examined to ensure that important functional regions of the transporter were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retained</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correctly in the structural model.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Particular attention</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was given to </w:t>
      </w:r>
      <w:r w:rsidRPr="40EE1397" w:rsidR="637F701D">
        <w:rPr>
          <w:rFonts w:ascii="Times New Roman" w:hAnsi="Times New Roman" w:eastAsia="Times New Roman" w:cs="Times New Roman" w:asciiTheme="minorAscii" w:hAnsiTheme="minorAscii" w:eastAsiaTheme="minorAscii" w:cstheme="minorAscii"/>
          <w:b w:val="1"/>
          <w:bCs w:val="1"/>
          <w:noProof w:val="0"/>
          <w:sz w:val="24"/>
          <w:szCs w:val="24"/>
          <w:lang w:val="en-US"/>
        </w:rPr>
        <w:t>ASP407, ASP408, LYS939, and THR976</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which are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located</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within the proton-relay/transmembrane region</w:t>
      </w:r>
      <w:r w:rsidRPr="40EE1397" w:rsidR="21D767FB">
        <w:rPr>
          <w:rFonts w:ascii="Times New Roman" w:hAnsi="Times New Roman" w:eastAsia="Times New Roman" w:cs="Times New Roman" w:asciiTheme="minorAscii" w:hAnsiTheme="minorAscii" w:eastAsiaTheme="minorAscii" w:cstheme="minorAscii"/>
          <w:noProof w:val="0"/>
          <w:sz w:val="24"/>
          <w:szCs w:val="24"/>
          <w:lang w:val="en-US"/>
        </w:rPr>
        <w:t xml:space="preserve"> (Satoshi et al., 2006).</w:t>
      </w:r>
    </w:p>
    <w:p w:rsidR="04A5FC70" w:rsidP="40EE1397" w:rsidRDefault="04A5FC70" w14:paraId="55BF245F" w14:textId="2CC3133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The analysis also examined the phenylalanine-rich regions of the porter domain because aromatic residues can contribute to ligand recognition and stabilization within the internal binding cavities.</w:t>
      </w:r>
    </w:p>
    <w:p w:rsidR="04A5FC70" w:rsidP="40EE1397" w:rsidRDefault="04A5FC70" w14:paraId="10630F40" w14:textId="29DA0DB3">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327D4C4A">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3.5 </w:t>
      </w:r>
      <w:r w:rsidRPr="40EE1397" w:rsidR="637F701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Identification of ligand-binding pockets using P2Rank</w:t>
      </w:r>
    </w:p>
    <w:p w:rsidR="04A5FC70" w:rsidP="40EE1397" w:rsidRDefault="04A5FC70" w14:paraId="5A507C0A" w14:textId="2F4FC733">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Potential ligand-binding pockets in the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MexB</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structure were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identified</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using </w:t>
      </w:r>
      <w:r w:rsidRPr="40EE1397" w:rsidR="637F701D">
        <w:rPr>
          <w:rFonts w:ascii="Times New Roman" w:hAnsi="Times New Roman" w:eastAsia="Times New Roman" w:cs="Times New Roman" w:asciiTheme="minorAscii" w:hAnsiTheme="minorAscii" w:eastAsiaTheme="minorAscii" w:cstheme="minorAscii"/>
          <w:b w:val="1"/>
          <w:bCs w:val="1"/>
          <w:noProof w:val="0"/>
          <w:sz w:val="24"/>
          <w:szCs w:val="24"/>
          <w:lang w:val="en-US"/>
        </w:rPr>
        <w:t>P2Rank 2.5</w:t>
      </w:r>
      <w:r w:rsidRPr="40EE1397" w:rsidR="637F701D">
        <w:rPr>
          <w:rFonts w:ascii="Times New Roman" w:hAnsi="Times New Roman" w:eastAsia="Times New Roman" w:cs="Times New Roman" w:asciiTheme="minorAscii" w:hAnsiTheme="minorAscii" w:eastAsiaTheme="minorAscii" w:cstheme="minorAscii"/>
          <w:b w:val="1"/>
          <w:bCs w:val="1"/>
          <w:noProof w:val="0"/>
          <w:sz w:val="24"/>
          <w:szCs w:val="24"/>
          <w:lang w:val="en-US"/>
        </w:rPr>
        <w:t>.1</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a machine-learning-based binding-site prediction method</w:t>
      </w:r>
      <w:r w:rsidRPr="40EE1397" w:rsidR="0753C6CC">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1DD189F5">
        <w:rPr>
          <w:rFonts w:ascii="Times New Roman" w:hAnsi="Times New Roman" w:eastAsia="Times New Roman" w:cs="Times New Roman" w:asciiTheme="minorAscii" w:hAnsiTheme="minorAscii" w:eastAsiaTheme="minorAscii" w:cstheme="minorAscii"/>
          <w:noProof w:val="0"/>
          <w:color w:val="auto"/>
          <w:u w:val="none"/>
          <w:lang w:val="en-US"/>
        </w:rPr>
        <w:t>(</w:t>
      </w:r>
      <w:hyperlink r:id="Rb25ea4a9edac4d0f">
        <w:r w:rsidRPr="40EE1397" w:rsidR="1DD189F5">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Radoslav </w:t>
        </w:r>
      </w:hyperlink>
      <w:r w:rsidRPr="40EE1397" w:rsidR="1DD189F5">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 2018).</w:t>
      </w:r>
    </w:p>
    <w:p w:rsidR="04A5FC70" w:rsidP="40EE1397" w:rsidRDefault="04A5FC70" w14:paraId="515B3362" w14:textId="15A4B4B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The aligned MexB conformational structures were submitted for pocket prediction, and the predicted pocket locations, scores, probabilities, and associated residues were examined. Based on the predicted pocket location and its position within the porter domain, the </w:t>
      </w:r>
      <w:r w:rsidRPr="40EE1397" w:rsidR="637F701D">
        <w:rPr>
          <w:rFonts w:ascii="Times New Roman" w:hAnsi="Times New Roman" w:eastAsia="Times New Roman" w:cs="Times New Roman" w:asciiTheme="minorAscii" w:hAnsiTheme="minorAscii" w:eastAsiaTheme="minorAscii" w:cstheme="minorAscii"/>
          <w:b w:val="1"/>
          <w:bCs w:val="1"/>
          <w:noProof w:val="0"/>
          <w:sz w:val="24"/>
          <w:szCs w:val="24"/>
          <w:lang w:val="en-US"/>
        </w:rPr>
        <w:t>Deep Binding Pocket (DBP)</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in the Binding state was selected as the principal docking site for ligand screening.</w:t>
      </w:r>
    </w:p>
    <w:p w:rsidR="04A5FC70" w:rsidP="40EE1397" w:rsidRDefault="04A5FC70" w14:paraId="7DFCF244" w14:textId="7BE154C9">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6C207AF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3.6 </w:t>
      </w:r>
      <w:r w:rsidRPr="40EE1397" w:rsidR="637F701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Definition of the Deep Binding Pocket</w:t>
      </w:r>
    </w:p>
    <w:p w:rsidR="04A5FC70" w:rsidP="40EE1397" w:rsidRDefault="04A5FC70" w14:paraId="208D134F" w14:textId="0B284BDB">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The DBP was defined using the P2Rank-predicted pocket coordinates. A docking box was </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subsequently</w:t>
      </w:r>
      <w:r w:rsidRPr="40EE1397" w:rsidR="637F701D">
        <w:rPr>
          <w:rFonts w:ascii="Times New Roman" w:hAnsi="Times New Roman" w:eastAsia="Times New Roman" w:cs="Times New Roman" w:asciiTheme="minorAscii" w:hAnsiTheme="minorAscii" w:eastAsiaTheme="minorAscii" w:cstheme="minorAscii"/>
          <w:noProof w:val="0"/>
          <w:sz w:val="24"/>
          <w:szCs w:val="24"/>
          <w:lang w:val="en-US"/>
        </w:rPr>
        <w:t xml:space="preserve"> constructed around the predicted DBP to encompass the pocket and its surrounding ligand-accessible region</w:t>
      </w:r>
      <w:r w:rsidRPr="40EE1397" w:rsidR="1161E0ED">
        <w:rPr>
          <w:rFonts w:ascii="Times New Roman" w:hAnsi="Times New Roman" w:eastAsia="Times New Roman" w:cs="Times New Roman" w:asciiTheme="minorAscii" w:hAnsiTheme="minorAscii" w:eastAsiaTheme="minorAscii" w:cstheme="minorAscii"/>
          <w:noProof w:val="0"/>
          <w:lang w:val="en-US"/>
        </w:rPr>
        <w:t xml:space="preserve"> </w:t>
      </w:r>
      <w:r w:rsidRPr="40EE1397" w:rsidR="1161E0ED">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1161E0ED">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1161E0ED">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273232AF" w14:textId="5FFB6DC5">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44F1B40">
        <w:rPr>
          <w:rFonts w:ascii="Times New Roman" w:hAnsi="Times New Roman" w:eastAsia="Times New Roman" w:cs="Times New Roman" w:asciiTheme="minorAscii" w:hAnsiTheme="minorAscii" w:eastAsiaTheme="minorAscii" w:cstheme="minorAscii"/>
          <w:noProof w:val="0"/>
          <w:sz w:val="24"/>
          <w:szCs w:val="24"/>
          <w:lang w:val="en-US"/>
        </w:rPr>
        <w:t>The final docking grid parameters used for the DBP were:</w:t>
      </w:r>
    </w:p>
    <w:tbl>
      <w:tblPr>
        <w:tblStyle w:val="TableGrid"/>
        <w:tblW w:w="0" w:type="auto"/>
        <w:tblLook w:val="06A0" w:firstRow="1" w:lastRow="0" w:firstColumn="1" w:lastColumn="0" w:noHBand="1" w:noVBand="1"/>
      </w:tblPr>
      <w:tblGrid>
        <w:gridCol w:w="4680"/>
        <w:gridCol w:w="4680"/>
      </w:tblGrid>
      <w:tr w:rsidR="40EE1397" w:rsidTr="40EE1397" w14:paraId="3DA7E79C">
        <w:trPr>
          <w:trHeight w:val="300"/>
        </w:trPr>
        <w:tc>
          <w:tcPr>
            <w:tcW w:w="4680" w:type="dxa"/>
            <w:tcMar/>
          </w:tcPr>
          <w:p w:rsidR="40EE1397" w:rsidP="40EE1397" w:rsidRDefault="40EE1397" w14:paraId="4C25CFB4" w14:textId="2F3DCBE8">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Parameter</w:t>
            </w:r>
          </w:p>
        </w:tc>
        <w:tc>
          <w:tcPr>
            <w:tcW w:w="4680" w:type="dxa"/>
            <w:tcMar/>
          </w:tcPr>
          <w:p w:rsidR="40EE1397" w:rsidP="40EE1397" w:rsidRDefault="40EE1397" w14:paraId="4AFB26DE" w14:textId="4C841EC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Value</w:t>
            </w:r>
          </w:p>
        </w:tc>
      </w:tr>
      <w:tr w:rsidR="40EE1397" w:rsidTr="40EE1397" w14:paraId="21ECC6E3">
        <w:trPr>
          <w:trHeight w:val="300"/>
        </w:trPr>
        <w:tc>
          <w:tcPr>
            <w:tcW w:w="4680" w:type="dxa"/>
            <w:tcMar/>
          </w:tcPr>
          <w:p w:rsidR="40EE1397" w:rsidP="40EE1397" w:rsidRDefault="40EE1397" w14:paraId="11F23786" w14:textId="2114E60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Center X</w:t>
            </w:r>
          </w:p>
        </w:tc>
        <w:tc>
          <w:tcPr>
            <w:tcW w:w="4680" w:type="dxa"/>
            <w:tcMar/>
          </w:tcPr>
          <w:p w:rsidR="40EE1397" w:rsidP="40EE1397" w:rsidRDefault="40EE1397" w14:paraId="796C3B9D" w14:textId="44FD3FF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−11.731</w:t>
            </w:r>
          </w:p>
        </w:tc>
      </w:tr>
      <w:tr w:rsidR="40EE1397" w:rsidTr="40EE1397" w14:paraId="321578C9">
        <w:trPr>
          <w:trHeight w:val="300"/>
        </w:trPr>
        <w:tc>
          <w:tcPr>
            <w:tcW w:w="4680" w:type="dxa"/>
            <w:tcMar/>
          </w:tcPr>
          <w:p w:rsidR="40EE1397" w:rsidP="40EE1397" w:rsidRDefault="40EE1397" w14:paraId="082EFAF4" w14:textId="462B500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Center Y</w:t>
            </w:r>
          </w:p>
        </w:tc>
        <w:tc>
          <w:tcPr>
            <w:tcW w:w="4680" w:type="dxa"/>
            <w:tcMar/>
          </w:tcPr>
          <w:p w:rsidR="40EE1397" w:rsidP="40EE1397" w:rsidRDefault="40EE1397" w14:paraId="3F917760" w14:textId="00E06CC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−0.815</w:t>
            </w:r>
          </w:p>
        </w:tc>
      </w:tr>
      <w:tr w:rsidR="40EE1397" w:rsidTr="40EE1397" w14:paraId="0317425B">
        <w:trPr>
          <w:trHeight w:val="300"/>
        </w:trPr>
        <w:tc>
          <w:tcPr>
            <w:tcW w:w="4680" w:type="dxa"/>
            <w:tcMar/>
          </w:tcPr>
          <w:p w:rsidR="40EE1397" w:rsidP="40EE1397" w:rsidRDefault="40EE1397" w14:paraId="570BFFAA" w14:textId="3F827BF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Center Z</w:t>
            </w:r>
          </w:p>
        </w:tc>
        <w:tc>
          <w:tcPr>
            <w:tcW w:w="4680" w:type="dxa"/>
            <w:tcMar/>
          </w:tcPr>
          <w:p w:rsidR="40EE1397" w:rsidP="40EE1397" w:rsidRDefault="40EE1397" w14:paraId="782785F6" w14:textId="7E01CAD2">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−28.409</w:t>
            </w:r>
          </w:p>
        </w:tc>
      </w:tr>
      <w:tr w:rsidR="40EE1397" w:rsidTr="40EE1397" w14:paraId="34F852B9">
        <w:trPr>
          <w:trHeight w:val="300"/>
        </w:trPr>
        <w:tc>
          <w:tcPr>
            <w:tcW w:w="4680" w:type="dxa"/>
            <w:tcMar/>
          </w:tcPr>
          <w:p w:rsidR="40EE1397" w:rsidP="40EE1397" w:rsidRDefault="40EE1397" w14:paraId="22623F9F" w14:textId="66B909C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Size X</w:t>
            </w:r>
          </w:p>
        </w:tc>
        <w:tc>
          <w:tcPr>
            <w:tcW w:w="4680" w:type="dxa"/>
            <w:tcMar/>
          </w:tcPr>
          <w:p w:rsidR="40EE1397" w:rsidP="40EE1397" w:rsidRDefault="40EE1397" w14:paraId="624A9E66" w14:textId="1BE84D52">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32 Å</w:t>
            </w:r>
          </w:p>
        </w:tc>
      </w:tr>
      <w:tr w:rsidR="40EE1397" w:rsidTr="40EE1397" w14:paraId="7EC4B829">
        <w:trPr>
          <w:trHeight w:val="300"/>
        </w:trPr>
        <w:tc>
          <w:tcPr>
            <w:tcW w:w="4680" w:type="dxa"/>
            <w:tcMar/>
          </w:tcPr>
          <w:p w:rsidR="40EE1397" w:rsidP="40EE1397" w:rsidRDefault="40EE1397" w14:paraId="5D5DB14E" w14:textId="02062B1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Size Y</w:t>
            </w:r>
          </w:p>
        </w:tc>
        <w:tc>
          <w:tcPr>
            <w:tcW w:w="4680" w:type="dxa"/>
            <w:tcMar/>
          </w:tcPr>
          <w:p w:rsidR="40EE1397" w:rsidP="40EE1397" w:rsidRDefault="40EE1397" w14:paraId="4A5988BC" w14:textId="3346D99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28 Å</w:t>
            </w:r>
          </w:p>
        </w:tc>
      </w:tr>
      <w:tr w:rsidR="40EE1397" w:rsidTr="40EE1397" w14:paraId="67381FB9">
        <w:trPr>
          <w:trHeight w:val="300"/>
        </w:trPr>
        <w:tc>
          <w:tcPr>
            <w:tcW w:w="4680" w:type="dxa"/>
            <w:tcMar/>
          </w:tcPr>
          <w:p w:rsidR="40EE1397" w:rsidP="40EE1397" w:rsidRDefault="40EE1397" w14:paraId="0D795703" w14:textId="0160975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Size Z</w:t>
            </w:r>
          </w:p>
        </w:tc>
        <w:tc>
          <w:tcPr>
            <w:tcW w:w="4680" w:type="dxa"/>
            <w:tcMar/>
          </w:tcPr>
          <w:p w:rsidR="40EE1397" w:rsidP="40EE1397" w:rsidRDefault="40EE1397" w14:paraId="4FC3E0A5" w14:textId="58D77D32">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28 Å</w:t>
            </w:r>
          </w:p>
        </w:tc>
      </w:tr>
      <w:tr w:rsidR="40EE1397" w:rsidTr="40EE1397" w14:paraId="7CFB7017">
        <w:trPr>
          <w:trHeight w:val="300"/>
        </w:trPr>
        <w:tc>
          <w:tcPr>
            <w:tcW w:w="4680" w:type="dxa"/>
            <w:tcMar/>
          </w:tcPr>
          <w:p w:rsidR="40EE1397" w:rsidP="40EE1397" w:rsidRDefault="40EE1397" w14:paraId="638FB772" w14:textId="1AB9907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Exhaustiveness</w:t>
            </w:r>
          </w:p>
        </w:tc>
        <w:tc>
          <w:tcPr>
            <w:tcW w:w="4680" w:type="dxa"/>
            <w:tcMar/>
          </w:tcPr>
          <w:p w:rsidR="40EE1397" w:rsidP="40EE1397" w:rsidRDefault="40EE1397" w14:paraId="51FED5AA" w14:textId="783AE69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16</w:t>
            </w:r>
          </w:p>
        </w:tc>
      </w:tr>
      <w:tr w:rsidR="40EE1397" w:rsidTr="40EE1397" w14:paraId="188A63F1">
        <w:trPr>
          <w:trHeight w:val="300"/>
        </w:trPr>
        <w:tc>
          <w:tcPr>
            <w:tcW w:w="4680" w:type="dxa"/>
            <w:tcMar/>
          </w:tcPr>
          <w:p w:rsidR="40EE1397" w:rsidP="40EE1397" w:rsidRDefault="40EE1397" w14:paraId="20C9D3D3" w14:textId="22D0E45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Number of modes</w:t>
            </w:r>
          </w:p>
        </w:tc>
        <w:tc>
          <w:tcPr>
            <w:tcW w:w="4680" w:type="dxa"/>
            <w:tcMar/>
          </w:tcPr>
          <w:p w:rsidR="40EE1397" w:rsidP="40EE1397" w:rsidRDefault="40EE1397" w14:paraId="75D73865" w14:textId="38849D9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9</w:t>
            </w:r>
          </w:p>
        </w:tc>
      </w:tr>
      <w:tr w:rsidR="40EE1397" w:rsidTr="40EE1397" w14:paraId="481152BC">
        <w:trPr>
          <w:trHeight w:val="300"/>
        </w:trPr>
        <w:tc>
          <w:tcPr>
            <w:tcW w:w="4680" w:type="dxa"/>
            <w:tcMar/>
          </w:tcPr>
          <w:p w:rsidR="40EE1397" w:rsidP="40EE1397" w:rsidRDefault="40EE1397" w14:paraId="0C6BC565" w14:textId="4CD65CE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Energy range</w:t>
            </w:r>
          </w:p>
        </w:tc>
        <w:tc>
          <w:tcPr>
            <w:tcW w:w="4680" w:type="dxa"/>
            <w:tcMar/>
          </w:tcPr>
          <w:p w:rsidR="40EE1397" w:rsidP="40EE1397" w:rsidRDefault="40EE1397" w14:paraId="6115C338" w14:textId="00470CA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 kcal/mol</w:t>
            </w:r>
          </w:p>
        </w:tc>
      </w:tr>
      <w:tr w:rsidR="40EE1397" w:rsidTr="40EE1397" w14:paraId="7A94F96A">
        <w:trPr>
          <w:trHeight w:val="300"/>
        </w:trPr>
        <w:tc>
          <w:tcPr>
            <w:tcW w:w="4680" w:type="dxa"/>
            <w:tcMar/>
          </w:tcPr>
          <w:p w:rsidR="40EE1397" w:rsidP="40EE1397" w:rsidRDefault="40EE1397" w14:paraId="49E8818E" w14:textId="38A60D7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Random seed</w:t>
            </w:r>
          </w:p>
        </w:tc>
        <w:tc>
          <w:tcPr>
            <w:tcW w:w="4680" w:type="dxa"/>
            <w:tcMar/>
          </w:tcPr>
          <w:p w:rsidR="40EE1397" w:rsidP="40EE1397" w:rsidRDefault="40EE1397" w14:paraId="0320BE13" w14:textId="2B3CB3F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42</w:t>
            </w:r>
          </w:p>
        </w:tc>
      </w:tr>
    </w:tbl>
    <w:p w:rsidR="04A5FC70" w:rsidP="40EE1397" w:rsidRDefault="04A5FC70" w14:paraId="45754E6C" w14:textId="07D43ADF">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The same docking box and parameters were maintained throughout the ligand docking and reference-ligand validation steps to ensure consistency.</w:t>
      </w:r>
    </w:p>
    <w:p w:rsidR="04A5FC70" w:rsidP="40EE1397" w:rsidRDefault="04A5FC70" w14:paraId="7C1D477C" w14:textId="2A7446DD">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7DBDF91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3.7 </w:t>
      </w:r>
      <w:r w:rsidRPr="40EE1397" w:rsidR="01008BDA">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Selection of DBP core residues</w:t>
      </w:r>
    </w:p>
    <w:p w:rsidR="04A5FC70" w:rsidP="40EE1397" w:rsidRDefault="04A5FC70" w14:paraId="40C7CB14" w14:textId="6E249FE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Based on the structural location of the predicted DBP and the observed phenylalanine-rich binding environment, six residues were selected as the </w:t>
      </w: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core DBP residues</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for subsequent interaction analysis:</w:t>
      </w:r>
    </w:p>
    <w:p w:rsidR="04A5FC70" w:rsidP="40EE1397" w:rsidRDefault="04A5FC70" w14:paraId="6CACD43A" w14:textId="070CFA69">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VAL139</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5A445F21" w14:textId="38D6AD75">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PHE178</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4C3747CD" w14:textId="745CD3A7">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TYR327</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7311C415" w14:textId="46650808">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PHE573</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1D3187B1" w14:textId="36D50B72">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PHE610</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299E99C3" w14:textId="240D7A21">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PHE628</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173D1BD0" w14:textId="44B260D3">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These residues were used as structural markers to </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determine</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whether docked ligands occupied the intended DBP region</w:t>
      </w:r>
      <w:r w:rsidRPr="40EE1397" w:rsidR="35094ADF">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35094ADF">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35094ADF">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35094ADF">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6AE7010A" w14:textId="17F91809">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4C04957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w:t>
      </w:r>
      <w:r w:rsidRPr="40EE1397" w:rsidR="780A5F4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8 </w:t>
      </w:r>
      <w:r w:rsidRPr="40EE1397" w:rsidR="01008BDA">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Ligand dataset preparation</w:t>
      </w:r>
    </w:p>
    <w:p w:rsidR="04A5FC70" w:rsidP="40EE1397" w:rsidRDefault="04A5FC70" w14:paraId="60EF6E27" w14:textId="791A716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A ligand dataset consisting of candidate compounds associated with MexB-related screening was assembled. The ligands were prepared in </w:t>
      </w: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PDBQT format</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for molecular docking.</w:t>
      </w:r>
    </w:p>
    <w:p w:rsidR="04A5FC70" w:rsidP="40EE1397" w:rsidRDefault="04A5FC70" w14:paraId="6429D1F9" w14:textId="10CC663B">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The ligand preparation workflow included obtaining the ligand structures, converting them into </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appropriate three-dimensional</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representations, assigning the required molecular properties for docking, and generating individual PDBQT files</w:t>
      </w:r>
      <w:r w:rsidRPr="40EE1397" w:rsidR="1ADD7C87">
        <w:rPr>
          <w:rFonts w:ascii="Times New Roman" w:hAnsi="Times New Roman" w:eastAsia="Times New Roman" w:cs="Times New Roman" w:asciiTheme="minorAscii" w:hAnsiTheme="minorAscii" w:eastAsiaTheme="minorAscii" w:cstheme="minorAscii"/>
          <w:noProof w:val="0"/>
          <w:lang w:val="en-US"/>
        </w:rPr>
        <w:t xml:space="preserve"> </w:t>
      </w:r>
      <w:r w:rsidRPr="40EE1397" w:rsidR="1ADD7C87">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1ADD7C87">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1ADD7C87">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76E88CE5" w14:textId="5F428C5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A total of </w:t>
      </w: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30 candidate ligands</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 were prepared and subjected to docking against the defined MexB DBP.</w:t>
      </w:r>
    </w:p>
    <w:p w:rsidR="04A5FC70" w:rsidP="40EE1397" w:rsidRDefault="04A5FC70" w14:paraId="053A2649" w14:textId="10FBAAD5">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6A601CF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w:t>
      </w:r>
      <w:r w:rsidRPr="40EE1397" w:rsidR="3B056BE3">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9</w:t>
      </w:r>
      <w:r w:rsidRPr="40EE1397" w:rsidR="6A601CF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w:t>
      </w:r>
      <w:r w:rsidRPr="40EE1397" w:rsidR="01008BDA">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Molecular docking of candidate ligands</w:t>
      </w:r>
    </w:p>
    <w:p w:rsidR="04A5FC70" w:rsidP="40EE1397" w:rsidRDefault="04A5FC70" w14:paraId="2515910A" w14:textId="04B26DB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xml:space="preserve">Molecular docking was performed using </w:t>
      </w:r>
      <w:r w:rsidRPr="40EE1397" w:rsidR="01008BDA">
        <w:rPr>
          <w:rFonts w:ascii="Times New Roman" w:hAnsi="Times New Roman" w:eastAsia="Times New Roman" w:cs="Times New Roman" w:asciiTheme="minorAscii" w:hAnsiTheme="minorAscii" w:eastAsiaTheme="minorAscii" w:cstheme="minorAscii"/>
          <w:b w:val="1"/>
          <w:bCs w:val="1"/>
          <w:noProof w:val="0"/>
          <w:sz w:val="24"/>
          <w:szCs w:val="24"/>
          <w:lang w:val="en-US"/>
        </w:rPr>
        <w:t>AutoDock Vina v1.2.7</w:t>
      </w: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 Each of the 30 candidate ligands was independently docked into the defined DBP of the MexB Binding-state structure.</w:t>
      </w:r>
    </w:p>
    <w:p w:rsidR="04A5FC70" w:rsidP="40EE1397" w:rsidRDefault="04A5FC70" w14:paraId="4C285370" w14:textId="2C88C53C">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The same receptor, docking grid, exhaustiveness, number of output modes, energy range, and random seed were used for all compounds</w:t>
      </w:r>
      <w:r w:rsidRPr="40EE1397" w:rsidR="4A396CB3">
        <w:rPr>
          <w:rFonts w:ascii="Times New Roman" w:hAnsi="Times New Roman" w:eastAsia="Times New Roman" w:cs="Times New Roman" w:asciiTheme="minorAscii" w:hAnsiTheme="minorAscii" w:eastAsiaTheme="minorAscii" w:cstheme="minorAscii"/>
          <w:noProof w:val="0"/>
          <w:lang w:val="en-US"/>
        </w:rPr>
        <w:t xml:space="preserve"> </w:t>
      </w:r>
      <w:r w:rsidRPr="40EE1397" w:rsidR="4A396CB3">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4A396CB3">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4A396CB3">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43829569" w14:textId="5232054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For each ligand, the docking program generated multiple possible binding poses. The pose with the most favorable predicted binding affinity (lowest/more negative Vina binding energy) was selected as the primary pose for subsequent analysis.</w:t>
      </w:r>
    </w:p>
    <w:p w:rsidR="04A5FC70" w:rsidP="40EE1397" w:rsidRDefault="04A5FC70" w14:paraId="44B91FB7" w14:textId="63393B1C">
      <w:pPr>
        <w:pStyle w:val="Normal"/>
        <w:spacing w:before="240" w:beforeAutospacing="off" w:after="240"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10DFC99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w:t>
      </w:r>
      <w:r w:rsidRPr="40EE1397" w:rsidR="68006AE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10</w:t>
      </w:r>
      <w:r w:rsidRPr="40EE1397" w:rsidR="10DFC99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w:t>
      </w:r>
      <w:r w:rsidRPr="40EE1397" w:rsidR="01008BDA">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Preliminary computational ranking of candidate ligands</w:t>
      </w:r>
    </w:p>
    <w:p w:rsidR="04A5FC70" w:rsidP="40EE1397" w:rsidRDefault="04A5FC70" w14:paraId="35182BC3" w14:textId="40A1D6CB">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01008BDA">
        <w:rPr>
          <w:rFonts w:ascii="Times New Roman" w:hAnsi="Times New Roman" w:eastAsia="Times New Roman" w:cs="Times New Roman" w:asciiTheme="minorAscii" w:hAnsiTheme="minorAscii" w:eastAsiaTheme="minorAscii" w:cstheme="minorAscii"/>
          <w:noProof w:val="0"/>
          <w:sz w:val="24"/>
          <w:szCs w:val="24"/>
          <w:lang w:val="en-US"/>
        </w:rPr>
        <w:t>The 30 docked compounds were evaluated according to their predicted Vina binding affinities. Compounds showing more favorable docking scores were selected for detailed structural analysis</w:t>
      </w:r>
      <w:r w:rsidRPr="40EE1397" w:rsidR="1287943B">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1287943B">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1287943B">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1287943B">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261346B7" w14:textId="116517C9">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pPr>
      <w:r w:rsidRPr="40EE1397" w:rsidR="01008BDA">
        <w:rPr>
          <w:rFonts w:ascii="Times New Roman" w:hAnsi="Times New Roman" w:eastAsia="Times New Roman" w:cs="Times New Roman" w:asciiTheme="minorAscii" w:hAnsiTheme="minorAscii" w:eastAsiaTheme="minorAscii" w:cstheme="minorAscii"/>
          <w:b w:val="0"/>
          <w:bCs w:val="0"/>
          <w:noProof w:val="0"/>
          <w:color w:val="auto"/>
          <w:sz w:val="24"/>
          <w:szCs w:val="24"/>
          <w:lang w:val="en-US"/>
        </w:rPr>
        <w:t>The top five computationally predicted candidates were:</w:t>
      </w:r>
    </w:p>
    <w:tbl>
      <w:tblPr>
        <w:tblStyle w:val="TableGrid"/>
        <w:tblW w:w="0" w:type="auto"/>
        <w:tblLook w:val="06A0" w:firstRow="1" w:lastRow="0" w:firstColumn="1" w:lastColumn="0" w:noHBand="1" w:noVBand="1"/>
      </w:tblPr>
      <w:tblGrid>
        <w:gridCol w:w="4680"/>
        <w:gridCol w:w="4680"/>
      </w:tblGrid>
      <w:tr w:rsidR="40EE1397" w:rsidTr="40EE1397" w14:paraId="2B5A6004">
        <w:trPr>
          <w:trHeight w:val="300"/>
        </w:trPr>
        <w:tc>
          <w:tcPr>
            <w:tcW w:w="4680" w:type="dxa"/>
            <w:tcMar/>
          </w:tcPr>
          <w:p w:rsidR="40EE1397" w:rsidP="40EE1397" w:rsidRDefault="40EE1397" w14:paraId="56FA0A02" w14:textId="3A8587D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Ligand</w:t>
            </w:r>
          </w:p>
        </w:tc>
        <w:tc>
          <w:tcPr>
            <w:tcW w:w="4680" w:type="dxa"/>
            <w:tcMar/>
          </w:tcPr>
          <w:p w:rsidR="40EE1397" w:rsidP="40EE1397" w:rsidRDefault="40EE1397" w14:paraId="60781BAE" w14:textId="5D986F2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Vina score</w:t>
            </w:r>
          </w:p>
        </w:tc>
      </w:tr>
      <w:tr w:rsidR="40EE1397" w:rsidTr="40EE1397" w14:paraId="4B08F70C">
        <w:trPr>
          <w:trHeight w:val="300"/>
        </w:trPr>
        <w:tc>
          <w:tcPr>
            <w:tcW w:w="4680" w:type="dxa"/>
            <w:tcMar/>
          </w:tcPr>
          <w:p w:rsidR="40EE1397" w:rsidP="40EE1397" w:rsidRDefault="40EE1397" w14:paraId="546EEC09" w14:textId="63E3597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CHEMBL254328</w:t>
            </w:r>
          </w:p>
        </w:tc>
        <w:tc>
          <w:tcPr>
            <w:tcW w:w="4680" w:type="dxa"/>
            <w:tcMar/>
          </w:tcPr>
          <w:p w:rsidR="40EE1397" w:rsidP="40EE1397" w:rsidRDefault="40EE1397" w14:paraId="3BE8E961" w14:textId="07BBC11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−12.90 kcal/mol</w:t>
            </w:r>
          </w:p>
        </w:tc>
      </w:tr>
      <w:tr w:rsidR="40EE1397" w:rsidTr="40EE1397" w14:paraId="25C118DE">
        <w:trPr>
          <w:trHeight w:val="300"/>
        </w:trPr>
        <w:tc>
          <w:tcPr>
            <w:tcW w:w="4680" w:type="dxa"/>
            <w:tcMar/>
          </w:tcPr>
          <w:p w:rsidR="40EE1397" w:rsidP="40EE1397" w:rsidRDefault="40EE1397" w14:paraId="53CC9F94" w14:textId="6D0AD2D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CHEMBL1170</w:t>
            </w:r>
          </w:p>
        </w:tc>
        <w:tc>
          <w:tcPr>
            <w:tcW w:w="4680" w:type="dxa"/>
            <w:tcMar/>
          </w:tcPr>
          <w:p w:rsidR="40EE1397" w:rsidP="40EE1397" w:rsidRDefault="40EE1397" w14:paraId="77437EE3" w14:textId="2995103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−11.72 kcal/mol</w:t>
            </w:r>
          </w:p>
        </w:tc>
      </w:tr>
      <w:tr w:rsidR="40EE1397" w:rsidTr="40EE1397" w14:paraId="50605E6C">
        <w:trPr>
          <w:trHeight w:val="300"/>
        </w:trPr>
        <w:tc>
          <w:tcPr>
            <w:tcW w:w="4680" w:type="dxa"/>
            <w:tcMar/>
          </w:tcPr>
          <w:p w:rsidR="40EE1397" w:rsidP="40EE1397" w:rsidRDefault="40EE1397" w14:paraId="17F984FF" w14:textId="519BBBC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CHEMBL1200374</w:t>
            </w:r>
          </w:p>
        </w:tc>
        <w:tc>
          <w:tcPr>
            <w:tcW w:w="4680" w:type="dxa"/>
            <w:tcMar/>
          </w:tcPr>
          <w:p w:rsidR="40EE1397" w:rsidP="40EE1397" w:rsidRDefault="40EE1397" w14:paraId="0268F9F6" w14:textId="76F193E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−11.25 kcal/mol</w:t>
            </w:r>
          </w:p>
        </w:tc>
      </w:tr>
      <w:tr w:rsidR="40EE1397" w:rsidTr="40EE1397" w14:paraId="198C9DD8">
        <w:trPr>
          <w:trHeight w:val="300"/>
        </w:trPr>
        <w:tc>
          <w:tcPr>
            <w:tcW w:w="4680" w:type="dxa"/>
            <w:tcMar/>
          </w:tcPr>
          <w:p w:rsidR="40EE1397" w:rsidP="40EE1397" w:rsidRDefault="40EE1397" w14:paraId="7BBD292E" w14:textId="390D502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CHEMBL2107826</w:t>
            </w:r>
          </w:p>
        </w:tc>
        <w:tc>
          <w:tcPr>
            <w:tcW w:w="4680" w:type="dxa"/>
            <w:tcMar/>
          </w:tcPr>
          <w:p w:rsidR="40EE1397" w:rsidP="40EE1397" w:rsidRDefault="40EE1397" w14:paraId="0C8E35E6" w14:textId="1A69534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−10.98 kcal/mol</w:t>
            </w:r>
          </w:p>
        </w:tc>
      </w:tr>
      <w:tr w:rsidR="40EE1397" w:rsidTr="40EE1397" w14:paraId="5C237B4C">
        <w:trPr>
          <w:trHeight w:val="300"/>
        </w:trPr>
        <w:tc>
          <w:tcPr>
            <w:tcW w:w="4680" w:type="dxa"/>
            <w:tcMar/>
          </w:tcPr>
          <w:p w:rsidR="40EE1397" w:rsidP="40EE1397" w:rsidRDefault="40EE1397" w14:paraId="442B92F9" w14:textId="2A4AF7E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CHEMBL1336</w:t>
            </w:r>
          </w:p>
        </w:tc>
        <w:tc>
          <w:tcPr>
            <w:tcW w:w="4680" w:type="dxa"/>
            <w:tcMar/>
          </w:tcPr>
          <w:p w:rsidR="40EE1397" w:rsidP="40EE1397" w:rsidRDefault="40EE1397" w14:paraId="1F61FC00" w14:textId="3E2CC3B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−10.44 kcal/mol</w:t>
            </w:r>
          </w:p>
        </w:tc>
      </w:tr>
    </w:tbl>
    <w:p w:rsidR="04A5FC70" w:rsidP="40EE1397" w:rsidRDefault="04A5FC70" w14:paraId="54D363E2" w14:textId="5782FB3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These compounds were subsequently examined for their interactions with the six predefined DBP core residues.</w:t>
      </w:r>
    </w:p>
    <w:p w:rsidR="04A5FC70" w:rsidP="40EE1397" w:rsidRDefault="04A5FC70" w14:paraId="34081456" w14:textId="0FC22BF7">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17EA8C15">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3.1</w:t>
      </w:r>
      <w:r w:rsidRPr="40EE1397" w:rsidR="25C558D7">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1</w:t>
      </w:r>
      <w:r w:rsidRPr="40EE1397" w:rsidR="17EA8C15">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w:t>
      </w:r>
      <w:r w:rsidRPr="40EE1397" w:rsidR="3686D5C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Core-residue contact analysis</w:t>
      </w:r>
    </w:p>
    <w:p w:rsidR="04A5FC70" w:rsidP="40EE1397" w:rsidRDefault="04A5FC70" w14:paraId="0FE0B9B9" w14:textId="2322FCE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To determine whether the selected ligands occupied the intended DBP rather than an alternative region of the receptor, the minimum distance between each docked ligand and each of the six core DBP residues was calculated.</w:t>
      </w:r>
    </w:p>
    <w:p w:rsidR="04A5FC70" w:rsidP="40EE1397" w:rsidRDefault="04A5FC70" w14:paraId="62456612" w14:textId="41B82B2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A </w:t>
      </w:r>
      <w:r w:rsidRPr="40EE1397" w:rsidR="3686D5CF">
        <w:rPr>
          <w:rFonts w:ascii="Times New Roman" w:hAnsi="Times New Roman" w:eastAsia="Times New Roman" w:cs="Times New Roman" w:asciiTheme="minorAscii" w:hAnsiTheme="minorAscii" w:eastAsiaTheme="minorAscii" w:cstheme="minorAscii"/>
          <w:b w:val="1"/>
          <w:bCs w:val="1"/>
          <w:noProof w:val="0"/>
          <w:sz w:val="24"/>
          <w:szCs w:val="24"/>
          <w:lang w:val="en-US"/>
        </w:rPr>
        <w:t>4 Å distance threshold</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 was used to identify close ligand–residue contacts.</w:t>
      </w:r>
    </w:p>
    <w:p w:rsidR="04A5FC70" w:rsidP="40EE1397" w:rsidRDefault="04A5FC70" w14:paraId="7D9779FC" w14:textId="3D5803F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For each ligand, the minimum heavy-atom distance to:</w:t>
      </w:r>
    </w:p>
    <w:p w:rsidR="04A5FC70" w:rsidP="40EE1397" w:rsidRDefault="04A5FC70" w14:paraId="53C6F2E3" w14:textId="2413AC7F">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PHE178 </w:t>
      </w:r>
    </w:p>
    <w:p w:rsidR="04A5FC70" w:rsidP="40EE1397" w:rsidRDefault="04A5FC70" w14:paraId="38EA4A91" w14:textId="282A57A9">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VAL139 </w:t>
      </w:r>
    </w:p>
    <w:p w:rsidR="04A5FC70" w:rsidP="40EE1397" w:rsidRDefault="04A5FC70" w14:paraId="6F956FB1" w14:textId="53F22DDE">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TYR327 </w:t>
      </w:r>
    </w:p>
    <w:p w:rsidR="04A5FC70" w:rsidP="40EE1397" w:rsidRDefault="04A5FC70" w14:paraId="25D0061D" w14:textId="61B2A1EC">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PHE573 </w:t>
      </w:r>
    </w:p>
    <w:p w:rsidR="04A5FC70" w:rsidP="40EE1397" w:rsidRDefault="04A5FC70" w14:paraId="50D0CD53" w14:textId="336696B9">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PHE610 </w:t>
      </w:r>
    </w:p>
    <w:p w:rsidR="04A5FC70" w:rsidP="40EE1397" w:rsidRDefault="04A5FC70" w14:paraId="3B27264F" w14:textId="79318EF3">
      <w:pPr>
        <w:pStyle w:val="ListParagraph"/>
        <w:numPr>
          <w:ilvl w:val="0"/>
          <w:numId w:val="1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PHE628 </w:t>
      </w:r>
    </w:p>
    <w:p w:rsidR="04A5FC70" w:rsidP="40EE1397" w:rsidRDefault="04A5FC70" w14:paraId="431B3491" w14:textId="2E0AC5A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was calculated.</w:t>
      </w:r>
    </w:p>
    <w:p w:rsidR="04A5FC70" w:rsidP="40EE1397" w:rsidRDefault="04A5FC70" w14:paraId="7DF78B1F" w14:textId="36215DD2">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Residues occurring within 4 Å of a ligand were classified as having </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a close</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 contact. Aromatic residues showing close contacts were additionally flagged as </w:t>
      </w:r>
      <w:r w:rsidRPr="40EE1397" w:rsidR="3686D5CF">
        <w:rPr>
          <w:rFonts w:ascii="Times New Roman" w:hAnsi="Times New Roman" w:eastAsia="Times New Roman" w:cs="Times New Roman" w:asciiTheme="minorAscii" w:hAnsiTheme="minorAscii" w:eastAsiaTheme="minorAscii" w:cstheme="minorAscii"/>
          <w:b w:val="1"/>
          <w:bCs w:val="1"/>
          <w:noProof w:val="0"/>
          <w:sz w:val="24"/>
          <w:szCs w:val="24"/>
          <w:lang w:val="en-US"/>
        </w:rPr>
        <w:t>aromatic-contact candidates</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This designation was used as a geometric descriptor and was not interpreted as definitive evidence of a specific π–π interaction</w:t>
      </w:r>
      <w:r w:rsidRPr="40EE1397" w:rsidR="0F6D4DCE">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0F6D4DCE">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0F6D4DCE">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0F6D4DCE">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0FD98F60" w14:textId="0F90AB84">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3C7E89E8">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3.1</w:t>
      </w:r>
      <w:r w:rsidRPr="40EE1397" w:rsidR="7FE10DCD">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2</w:t>
      </w:r>
      <w:r w:rsidRPr="40EE1397" w:rsidR="3C7E89E8">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w:t>
      </w:r>
      <w:r w:rsidRPr="40EE1397" w:rsidR="3686D5C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Validation using experimentally characterized reference ligands</w:t>
      </w:r>
    </w:p>
    <w:p w:rsidR="04A5FC70" w:rsidP="40EE1397" w:rsidRDefault="04A5FC70" w14:paraId="1CF35A0C" w14:textId="0148211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To assess whether the docking protocol could reproduce the interaction environment observed for experimentally characterized MexB-associated compounds, four reference ligands were selected:</w:t>
      </w:r>
    </w:p>
    <w:p w:rsidR="04A5FC70" w:rsidP="40EE1397" w:rsidRDefault="04A5FC70" w14:paraId="1001D803" w14:textId="53402658">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b w:val="1"/>
          <w:bCs w:val="1"/>
          <w:noProof w:val="0"/>
          <w:sz w:val="24"/>
          <w:szCs w:val="24"/>
          <w:lang w:val="en-US"/>
        </w:rPr>
        <w:t>CHEMBL191703</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1CE1E57B" w14:textId="5785ADA8">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b w:val="1"/>
          <w:bCs w:val="1"/>
          <w:noProof w:val="0"/>
          <w:sz w:val="24"/>
          <w:szCs w:val="24"/>
          <w:lang w:val="en-US"/>
        </w:rPr>
        <w:t>CHEMBL297453</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467763C7" w14:textId="54E7C07D">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b w:val="1"/>
          <w:bCs w:val="1"/>
          <w:noProof w:val="0"/>
          <w:sz w:val="24"/>
          <w:szCs w:val="24"/>
          <w:lang w:val="en-US"/>
        </w:rPr>
        <w:t>CHEMBL4064721</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08A460EE" w14:textId="6685C471">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b w:val="1"/>
          <w:bCs w:val="1"/>
          <w:noProof w:val="0"/>
          <w:sz w:val="24"/>
          <w:szCs w:val="24"/>
          <w:lang w:val="en-US"/>
        </w:rPr>
        <w:t>CHEMBL5569750</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04A5FC70" w:rsidP="40EE1397" w:rsidRDefault="04A5FC70" w14:paraId="71739DFB" w14:textId="1FD8E4D1">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The reference ligands were prepared in PDBQT format and docked into the </w:t>
      </w:r>
      <w:r w:rsidRPr="40EE1397" w:rsidR="3686D5CF">
        <w:rPr>
          <w:rFonts w:ascii="Times New Roman" w:hAnsi="Times New Roman" w:eastAsia="Times New Roman" w:cs="Times New Roman" w:asciiTheme="minorAscii" w:hAnsiTheme="minorAscii" w:eastAsiaTheme="minorAscii" w:cstheme="minorAscii"/>
          <w:b w:val="1"/>
          <w:bCs w:val="1"/>
          <w:noProof w:val="0"/>
          <w:sz w:val="24"/>
          <w:szCs w:val="24"/>
          <w:lang w:val="en-US"/>
        </w:rPr>
        <w:t>same DBP docking grid</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 using the same </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AutoDock</w:t>
      </w: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 xml:space="preserve"> Vina parameters applied to the candidate compounds</w:t>
      </w:r>
      <w:r w:rsidRPr="40EE1397" w:rsidR="6B9ED64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6B9ED645">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6B9ED645">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6B9ED645">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47204CCA" w14:textId="7A3E474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686D5CF">
        <w:rPr>
          <w:rFonts w:ascii="Times New Roman" w:hAnsi="Times New Roman" w:eastAsia="Times New Roman" w:cs="Times New Roman" w:asciiTheme="minorAscii" w:hAnsiTheme="minorAscii" w:eastAsiaTheme="minorAscii" w:cstheme="minorAscii"/>
          <w:noProof w:val="0"/>
          <w:sz w:val="24"/>
          <w:szCs w:val="24"/>
          <w:lang w:val="en-US"/>
        </w:rPr>
        <w:t>The experimentally reported activity information associated with these reference compounds was retained as a separate validation field, including MIC and MEC measurements where available.</w:t>
      </w:r>
    </w:p>
    <w:p w:rsidR="04A5FC70" w:rsidP="40EE1397" w:rsidRDefault="04A5FC70" w14:paraId="1F2B9E2C" w14:textId="380A2A16">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6CD3912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3.1</w:t>
      </w:r>
      <w:r w:rsidRPr="40EE1397" w:rsidR="6DCE4405">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w:t>
      </w:r>
      <w:r w:rsidRPr="40EE1397" w:rsidR="6CD3912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w:t>
      </w:r>
      <w:r w:rsidRPr="40EE1397" w:rsidR="57ECE25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Structural validation of reference-ligand binding</w:t>
      </w:r>
    </w:p>
    <w:p w:rsidR="04A5FC70" w:rsidP="40EE1397" w:rsidRDefault="04A5FC70" w14:paraId="5B122D5E" w14:textId="108A7B28">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57ECE256">
        <w:rPr>
          <w:rFonts w:ascii="Times New Roman" w:hAnsi="Times New Roman" w:eastAsia="Times New Roman" w:cs="Times New Roman" w:asciiTheme="minorAscii" w:hAnsiTheme="minorAscii" w:eastAsiaTheme="minorAscii" w:cstheme="minorAscii"/>
          <w:noProof w:val="0"/>
          <w:sz w:val="24"/>
          <w:szCs w:val="24"/>
          <w:lang w:val="en-US"/>
        </w:rPr>
        <w:t>The best-scoring docking pose of each reference ligand was analyzed against the six predefined DBP core residues using the same 4 Å contact criterion applied to the candidate ligands</w:t>
      </w:r>
      <w:r w:rsidRPr="40EE1397" w:rsidR="48E6A49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48E6A498">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48E6A498">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48E6A498">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3F9E83A0" w14:textId="542F908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57ECE256">
        <w:rPr>
          <w:rFonts w:ascii="Times New Roman" w:hAnsi="Times New Roman" w:eastAsia="Times New Roman" w:cs="Times New Roman" w:asciiTheme="minorAscii" w:hAnsiTheme="minorAscii" w:eastAsiaTheme="minorAscii" w:cstheme="minorAscii"/>
          <w:noProof w:val="0"/>
          <w:sz w:val="24"/>
          <w:szCs w:val="24"/>
          <w:lang w:val="en-US"/>
        </w:rPr>
        <w:t>The resulting core-contact counts were:</w:t>
      </w:r>
    </w:p>
    <w:tbl>
      <w:tblPr>
        <w:tblStyle w:val="TableGrid"/>
        <w:tblW w:w="0" w:type="auto"/>
        <w:tblLook w:val="06A0" w:firstRow="1" w:lastRow="0" w:firstColumn="1" w:lastColumn="0" w:noHBand="1" w:noVBand="1"/>
      </w:tblPr>
      <w:tblGrid>
        <w:gridCol w:w="4680"/>
        <w:gridCol w:w="4680"/>
      </w:tblGrid>
      <w:tr w:rsidR="40EE1397" w:rsidTr="40EE1397" w14:paraId="515BF2B5">
        <w:trPr>
          <w:trHeight w:val="300"/>
        </w:trPr>
        <w:tc>
          <w:tcPr>
            <w:tcW w:w="4680" w:type="dxa"/>
            <w:tcMar/>
          </w:tcPr>
          <w:p w:rsidR="40EE1397" w:rsidP="40EE1397" w:rsidRDefault="40EE1397" w14:paraId="5FECCA25" w14:textId="350BBA5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Reference ligand</w:t>
            </w:r>
          </w:p>
        </w:tc>
        <w:tc>
          <w:tcPr>
            <w:tcW w:w="4680" w:type="dxa"/>
            <w:tcMar/>
          </w:tcPr>
          <w:p w:rsidR="40EE1397" w:rsidP="40EE1397" w:rsidRDefault="40EE1397" w14:paraId="7C94D28B" w14:textId="00DE1A3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Core contacts</w:t>
            </w:r>
          </w:p>
        </w:tc>
      </w:tr>
      <w:tr w:rsidR="40EE1397" w:rsidTr="40EE1397" w14:paraId="00A23C6A">
        <w:trPr>
          <w:trHeight w:val="300"/>
        </w:trPr>
        <w:tc>
          <w:tcPr>
            <w:tcW w:w="4680" w:type="dxa"/>
            <w:tcMar/>
          </w:tcPr>
          <w:p w:rsidR="40EE1397" w:rsidP="40EE1397" w:rsidRDefault="40EE1397" w14:paraId="52C3CEC3" w14:textId="79B5CCF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CHEMBL4064721</w:t>
            </w:r>
          </w:p>
        </w:tc>
        <w:tc>
          <w:tcPr>
            <w:tcW w:w="4680" w:type="dxa"/>
            <w:tcMar/>
          </w:tcPr>
          <w:p w:rsidR="40EE1397" w:rsidP="40EE1397" w:rsidRDefault="40EE1397" w14:paraId="2D01E8DB" w14:textId="0BC8A5B8">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55CEA1D3">
        <w:trPr>
          <w:trHeight w:val="300"/>
        </w:trPr>
        <w:tc>
          <w:tcPr>
            <w:tcW w:w="4680" w:type="dxa"/>
            <w:tcMar/>
          </w:tcPr>
          <w:p w:rsidR="40EE1397" w:rsidP="40EE1397" w:rsidRDefault="40EE1397" w14:paraId="28BC3480" w14:textId="75CBDD3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CHEMBL5569750</w:t>
            </w:r>
          </w:p>
        </w:tc>
        <w:tc>
          <w:tcPr>
            <w:tcW w:w="4680" w:type="dxa"/>
            <w:tcMar/>
          </w:tcPr>
          <w:p w:rsidR="40EE1397" w:rsidP="40EE1397" w:rsidRDefault="40EE1397" w14:paraId="24E4102E" w14:textId="2F6F35C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79D1A380">
        <w:trPr>
          <w:trHeight w:val="300"/>
        </w:trPr>
        <w:tc>
          <w:tcPr>
            <w:tcW w:w="4680" w:type="dxa"/>
            <w:tcMar/>
          </w:tcPr>
          <w:p w:rsidR="40EE1397" w:rsidP="40EE1397" w:rsidRDefault="40EE1397" w14:paraId="5F2EC921" w14:textId="344262C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CHEMBL297453</w:t>
            </w:r>
          </w:p>
        </w:tc>
        <w:tc>
          <w:tcPr>
            <w:tcW w:w="4680" w:type="dxa"/>
            <w:tcMar/>
          </w:tcPr>
          <w:p w:rsidR="40EE1397" w:rsidP="40EE1397" w:rsidRDefault="40EE1397" w14:paraId="56B79E9A" w14:textId="198B6D5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5/6</w:t>
            </w:r>
          </w:p>
        </w:tc>
      </w:tr>
      <w:tr w:rsidR="40EE1397" w:rsidTr="40EE1397" w14:paraId="4D2B4DC2">
        <w:trPr>
          <w:trHeight w:val="300"/>
        </w:trPr>
        <w:tc>
          <w:tcPr>
            <w:tcW w:w="4680" w:type="dxa"/>
            <w:tcMar/>
          </w:tcPr>
          <w:p w:rsidR="40EE1397" w:rsidP="40EE1397" w:rsidRDefault="40EE1397" w14:paraId="5DCAD17F" w14:textId="7163170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CHEMBL191703</w:t>
            </w:r>
          </w:p>
        </w:tc>
        <w:tc>
          <w:tcPr>
            <w:tcW w:w="4680" w:type="dxa"/>
            <w:tcMar/>
          </w:tcPr>
          <w:p w:rsidR="40EE1397" w:rsidP="40EE1397" w:rsidRDefault="40EE1397" w14:paraId="2B5F0349" w14:textId="4F958EB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4/6</w:t>
            </w:r>
          </w:p>
        </w:tc>
      </w:tr>
    </w:tbl>
    <w:p w:rsidR="04A5FC70" w:rsidP="40EE1397" w:rsidRDefault="04A5FC70" w14:paraId="41C69A79" w14:textId="56CD06C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This provided a structural validation framework for assessing whether the defined DBP and its core residue set were capable of accommodating experimentally characterized ligands.</w:t>
      </w:r>
    </w:p>
    <w:p w:rsidR="04A5FC70" w:rsidP="40EE1397" w:rsidRDefault="04A5FC70" w14:paraId="3CB92BD9" w14:textId="011047D0">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57BF518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3.1</w:t>
      </w:r>
      <w:r w:rsidRPr="40EE1397" w:rsidR="1FCA5CD4">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4</w:t>
      </w:r>
      <w:r w:rsidRPr="40EE1397" w:rsidR="57BF518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w:t>
      </w:r>
      <w:r w:rsidRPr="40EE1397" w:rsidR="25214BD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Comparative analysis of predicted and reference ligands</w:t>
      </w:r>
    </w:p>
    <w:p w:rsidR="04A5FC70" w:rsidP="40EE1397" w:rsidRDefault="04A5FC70" w14:paraId="2F578FB1" w14:textId="2761C36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The candidate and reference ligands were compared using three principal computational parameters:</w:t>
      </w:r>
    </w:p>
    <w:p w:rsidR="04A5FC70" w:rsidP="40EE1397" w:rsidRDefault="04A5FC70" w14:paraId="51AF7B70" w14:textId="065D2475">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Vina docking score</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04A5FC70" w:rsidP="40EE1397" w:rsidRDefault="04A5FC70" w14:paraId="5EBB0970" w14:textId="5337663E">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Number of DBP core-residue contacts</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04A5FC70" w:rsidP="40EE1397" w:rsidRDefault="04A5FC70" w14:paraId="36889454" w14:textId="49D33E8B">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Minimum ligand–residue distances</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04A5FC70" w:rsidP="40EE1397" w:rsidRDefault="04A5FC70" w14:paraId="1205B741" w14:textId="06578931">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The top five predicted candidates all showed </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6/6 contacts with the predefined DBP core residues</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indicating that their docked poses occupied the selected DBP region consistently.</w:t>
      </w:r>
    </w:p>
    <w:p w:rsidR="04A5FC70" w:rsidP="40EE1397" w:rsidRDefault="04A5FC70" w14:paraId="1552C154" w14:textId="444AF3FD">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The reference compounds showed </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4–6/6 core-residue contacts</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providing </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additional</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evidence that the selected six-residue region </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represents</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a structurally relevant ligand-interaction environment</w:t>
      </w:r>
      <w:r w:rsidRPr="40EE1397" w:rsidR="1E7C529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40EE1397" w:rsidR="1E7C5292">
        <w:rPr>
          <w:rFonts w:ascii="Times New Roman" w:hAnsi="Times New Roman" w:eastAsia="Times New Roman" w:cs="Times New Roman" w:asciiTheme="minorAscii" w:hAnsiTheme="minorAscii" w:eastAsiaTheme="minorAscii" w:cstheme="minorAscii"/>
          <w:b w:val="0"/>
          <w:bCs w:val="0"/>
          <w:noProof w:val="0"/>
          <w:sz w:val="24"/>
          <w:szCs w:val="24"/>
          <w:lang w:val="en-US"/>
        </w:rPr>
        <w:t>Eberhardt et al., 2021).</w:t>
      </w:r>
    </w:p>
    <w:p w:rsidR="04A5FC70" w:rsidP="40EE1397" w:rsidRDefault="04A5FC70" w14:paraId="15924966" w14:textId="728505F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Experimental activity values were retained for contextual validation but were not directly equated with Vina docking scores because the reference measurements included different experimental endpoints and units, such as MIC and MEC.</w:t>
      </w:r>
    </w:p>
    <w:p w:rsidR="04A5FC70" w:rsidP="40EE1397" w:rsidRDefault="04A5FC70" w14:paraId="1DCE8280" w14:textId="194C3819">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5B14808C">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3.1</w:t>
      </w:r>
      <w:r w:rsidRPr="40EE1397" w:rsidR="594A522E">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5</w:t>
      </w:r>
      <w:r w:rsidRPr="40EE1397" w:rsidR="5B14808C">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w:t>
      </w:r>
      <w:r w:rsidRPr="40EE1397" w:rsidR="25214BD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Final candidate identification</w:t>
      </w:r>
    </w:p>
    <w:p w:rsidR="04A5FC70" w:rsidP="40EE1397" w:rsidRDefault="04A5FC70" w14:paraId="1AE43027" w14:textId="4C1B7468">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 xml:space="preserve">The final candidate set was </w:t>
      </w: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determined</w:t>
      </w: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 xml:space="preserve"> by integrating docking affinity with structural interaction analysis. Compounds were considered computationally promising when they </w:t>
      </w: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demonstrated</w:t>
      </w: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 xml:space="preserve"> favorable predicted binding energies together with extensive contacts with the predefined DBP core </w:t>
      </w: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residues.</w:t>
      </w: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The</w:t>
      </w: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 xml:space="preserve"> resulting candidates were therefore proposed as </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computationally prioritized </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MexB</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DBP-binding compounds</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for further investigation</w:t>
      </w:r>
      <w:r w:rsidRPr="40EE1397" w:rsidR="70DE0327">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40EE1397" w:rsidR="70DE0327">
        <w:rPr>
          <w:rFonts w:ascii="Times New Roman" w:hAnsi="Times New Roman" w:eastAsia="Times New Roman" w:cs="Times New Roman" w:asciiTheme="minorAscii" w:hAnsiTheme="minorAscii" w:eastAsiaTheme="minorAscii" w:cstheme="minorAscii"/>
          <w:noProof w:val="0"/>
          <w:sz w:val="24"/>
          <w:szCs w:val="24"/>
          <w:lang w:val="en-US"/>
        </w:rPr>
        <w:t>Eberhardt et al., 2021).</w:t>
      </w:r>
    </w:p>
    <w:p w:rsidR="04A5FC70" w:rsidP="40EE1397" w:rsidRDefault="04A5FC70" w14:paraId="54FC8020" w14:textId="4964BC90">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23D1AD4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3.1</w:t>
      </w:r>
      <w:r w:rsidRPr="40EE1397" w:rsidR="611A764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6 </w:t>
      </w:r>
      <w:r w:rsidRPr="40EE1397" w:rsidR="25214BD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Computational workflow summary</w:t>
      </w:r>
    </w:p>
    <w:p w:rsidR="04A5FC70" w:rsidP="40EE1397" w:rsidRDefault="04A5FC70" w14:paraId="23DEF0BF" w14:textId="36BEA87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The complete workflow can be summarized as:</w:t>
      </w:r>
    </w:p>
    <w:p w:rsidR="04A5FC70" w:rsidP="40EE1397" w:rsidRDefault="04A5FC70" w14:paraId="27AC0095" w14:textId="3D114120">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MexB</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structure selection → conformational-state identification → TMD-based structural alignment → porter-domain movement analysis → functional residue inspection → P2Rank pocket prediction → DBP selection → DBP core-residue definition → ligand preparation → </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AutoDock</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Vina docking → docking-score ranking → core-residue contact analysis → experimental reference-ligand docking → structural validation → final candidate prioritization</w:t>
      </w:r>
    </w:p>
    <w:p w:rsidR="04A5FC70" w:rsidP="40EE1397" w:rsidRDefault="04A5FC70" w14:paraId="3E5DD0C0" w14:textId="2E5B532D">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2D4FF448">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3.1</w:t>
      </w:r>
      <w:r w:rsidRPr="40EE1397" w:rsidR="43D0B74C">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7</w:t>
      </w:r>
      <w:r w:rsidRPr="40EE1397" w:rsidR="2D4FF448">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w:t>
      </w:r>
      <w:r w:rsidRPr="40EE1397" w:rsidR="25214BD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Computational limitations</w:t>
      </w:r>
    </w:p>
    <w:p w:rsidR="04A5FC70" w:rsidP="40EE1397" w:rsidRDefault="04A5FC70" w14:paraId="2BD58F62" w14:textId="6688E2F9">
      <w:pPr>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 xml:space="preserve">The docking analysis represents a computational prediction and does not establish experimental inhibition of MexB. AutoDock Vina scores should therefore be interpreted as </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predicted binding affinities rather than experimentally measured affinities</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04A5FC70" w:rsidP="40EE1397" w:rsidRDefault="04A5FC70" w14:paraId="5F4A9D0D" w14:textId="2422898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Additionally, the docking procedure used a relatively rigid receptor model and a single defined DBP conformation. Protein flexibility, solvent effects, induced-fit effects, and dynamic changes occurring during the MexB transport cycle may not be fully represented. The 4 Å contact criterion is also a geometric screening criterion and does not by itself establish the exact chemical nature of ligand–residue interactions.</w:t>
      </w:r>
    </w:p>
    <w:p w:rsidR="04A5FC70" w:rsidP="40EE1397" w:rsidRDefault="04A5FC70" w14:paraId="5D0C9C20" w14:textId="6261F84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 xml:space="preserve">Consequently, the identified compounds should be considered </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computational candidates requiring further validation</w:t>
      </w:r>
      <w:r w:rsidRPr="40EE1397" w:rsidR="25214BD9">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40EE1397" w:rsidR="25214BD9">
        <w:rPr>
          <w:rFonts w:ascii="Times New Roman" w:hAnsi="Times New Roman" w:eastAsia="Times New Roman" w:cs="Times New Roman" w:asciiTheme="minorAscii" w:hAnsiTheme="minorAscii" w:eastAsiaTheme="minorAscii" w:cstheme="minorAscii"/>
          <w:noProof w:val="0"/>
          <w:sz w:val="24"/>
          <w:szCs w:val="24"/>
          <w:lang w:val="en-US"/>
        </w:rPr>
        <w:t>potentially through molecular dynamics simulations, more detailed interaction analysis, free-energy calculations, and/or experimental assays.</w:t>
      </w:r>
    </w:p>
    <w:p w:rsidR="04A5FC70" w:rsidP="40EE1397" w:rsidRDefault="04A5FC70" w14:paraId="366C4805" w14:textId="7BDF11C9">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p>
    <w:p w:rsidR="04A5FC70" w:rsidP="40EE1397" w:rsidRDefault="04A5FC70" w14:paraId="52A514CD" w14:textId="77870625">
      <w:pPr>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p>
    <w:p w:rsidR="04A5FC70" w:rsidP="24C68573" w:rsidRDefault="04A5FC70" w14:paraId="59235F17" w14:textId="44322E97">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r w:rsidRPr="24C68573" w:rsidR="1C54E745">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4</w:t>
      </w:r>
      <w:r w:rsidRPr="24C68573" w:rsidR="266E036D">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 RESULTS</w:t>
      </w:r>
    </w:p>
    <w:p w:rsidR="04A5FC70" w:rsidP="40EE1397" w:rsidRDefault="04A5FC70" w14:paraId="37E0742E" w14:textId="568A439A">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640BA241">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4.1</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Structural characterization of MexB conformational states</w:t>
      </w:r>
    </w:p>
    <w:p w:rsidR="04A5FC70" w:rsidP="40EE1397" w:rsidRDefault="04A5FC70" w14:paraId="7054F2C5" w14:textId="1013426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three-dimensional structure of the MexB multidrug efflux transporter from Pseudomonas aeruginosa was analyzed using the biological assembly of PDB structure 3W9I. The MexB homotrimer consists of three protomers representing distinct functional conformations. Chain A was assigned as the Access state, chain B as the Binding state, and chain C as the Extrusion state.</w:t>
      </w:r>
    </w:p>
    <w:p w:rsidR="04A5FC70" w:rsidP="40EE1397" w:rsidRDefault="04A5FC70" w14:paraId="01A5E939" w14:textId="5A139760">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To compare the conformations while minimizing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effect of overal</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l protomer orie</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ntation,</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the transmembrane domains (TMDs) were used for structural superposition. A total of 246 TMD atoms were used for each protomer. The Binding state showed an RMSD of 1.838 Å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relative</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to th</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e A</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ccess sta</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te,</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whereas</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the Extrusion state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show</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ed an RMSD of 1.347 Å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re</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lativ</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e</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to the Access state. These values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indicate</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that the transmemb</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rane regions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remain</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relatively conserved</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between the conformational stat</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es</w:t>
      </w:r>
      <w:r w:rsidRPr="40EE1397" w:rsidR="6B1A156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6B1A1566">
        <w:rPr>
          <w:rFonts w:ascii="Times New Roman" w:hAnsi="Times New Roman" w:eastAsia="Times New Roman" w:cs="Times New Roman" w:asciiTheme="minorAscii" w:hAnsiTheme="minorAscii" w:eastAsiaTheme="minorAscii" w:cstheme="minorAscii"/>
          <w:noProof w:val="0"/>
          <w:sz w:val="24"/>
          <w:szCs w:val="24"/>
          <w:lang w:val="en-US"/>
        </w:rPr>
        <w:t>Murakami et al., 2006).</w:t>
      </w:r>
    </w:p>
    <w:p w:rsidR="04A5FC70" w:rsidP="40EE1397" w:rsidRDefault="04A5FC70" w14:paraId="288E3DC2" w14:textId="140BF93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Changes in the porter domain were assessed using PN1–PN2 and PC1–PC2 distances. The PN1–PN2 distance increased from 24.95 Å in the Access state to 26.25 Å in the Binding state and 28.29 Å in the Extrusion state. In contrast, the PC1–PC2 distance increased from 23.36 Å in Access to 25.46 Å in Binding and subsequently decreased to 21.43 Å in Extrusion. These measurements demonstrate distinct conformational rearrangements within the porter domain during the MexB transport cycle.</w:t>
      </w:r>
    </w:p>
    <w:p w:rsidR="04A5FC70" w:rsidP="40EE1397" w:rsidRDefault="04A5FC70" w14:paraId="6DEC2B88" w14:textId="44B2855E">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Table 1. Structural comparison of MexB conformational states</w:t>
      </w:r>
    </w:p>
    <w:tbl>
      <w:tblPr>
        <w:tblStyle w:val="TableGrid"/>
        <w:bidiVisual w:val="0"/>
        <w:tblW w:w="0" w:type="auto"/>
        <w:tblLook w:val="06A0" w:firstRow="1" w:lastRow="0" w:firstColumn="1" w:lastColumn="0" w:noHBand="1" w:noVBand="1"/>
      </w:tblPr>
      <w:tblGrid>
        <w:gridCol w:w="1872"/>
        <w:gridCol w:w="1872"/>
        <w:gridCol w:w="1872"/>
        <w:gridCol w:w="1872"/>
        <w:gridCol w:w="1872"/>
      </w:tblGrid>
      <w:tr w:rsidR="40EE1397" w:rsidTr="40EE1397" w14:paraId="1DD5E47C">
        <w:trPr>
          <w:trHeight w:val="300"/>
        </w:trPr>
        <w:tc>
          <w:tcPr>
            <w:tcW w:w="1872" w:type="dxa"/>
            <w:tcMar/>
          </w:tcPr>
          <w:p w:rsidR="40EE1397" w:rsidP="40EE1397" w:rsidRDefault="40EE1397" w14:paraId="1E7D6740" w14:textId="330A79A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State</w:t>
            </w:r>
          </w:p>
        </w:tc>
        <w:tc>
          <w:tcPr>
            <w:tcW w:w="1872" w:type="dxa"/>
            <w:tcMar/>
          </w:tcPr>
          <w:p w:rsidR="40EE1397" w:rsidP="40EE1397" w:rsidRDefault="40EE1397" w14:paraId="1549FC0F" w14:textId="112B9CF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Chain</w:t>
            </w:r>
          </w:p>
        </w:tc>
        <w:tc>
          <w:tcPr>
            <w:tcW w:w="1872" w:type="dxa"/>
            <w:tcMar/>
          </w:tcPr>
          <w:p w:rsidR="40EE1397" w:rsidP="40EE1397" w:rsidRDefault="40EE1397" w14:paraId="4ADA7345" w14:textId="6213015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PN1–PN2 (Å)</w:t>
            </w:r>
          </w:p>
        </w:tc>
        <w:tc>
          <w:tcPr>
            <w:tcW w:w="1872" w:type="dxa"/>
            <w:tcMar/>
          </w:tcPr>
          <w:p w:rsidR="40EE1397" w:rsidP="40EE1397" w:rsidRDefault="40EE1397" w14:paraId="6623D98A" w14:textId="5ED3EAC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PC1–PC2 (Å)</w:t>
            </w:r>
          </w:p>
        </w:tc>
        <w:tc>
          <w:tcPr>
            <w:tcW w:w="1872" w:type="dxa"/>
            <w:tcMar/>
          </w:tcPr>
          <w:p w:rsidR="40EE1397" w:rsidP="40EE1397" w:rsidRDefault="40EE1397" w14:paraId="48542CCD" w14:textId="1A9E3F18">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TMD RMSD vs Access</w:t>
            </w:r>
          </w:p>
        </w:tc>
      </w:tr>
      <w:tr w:rsidR="40EE1397" w:rsidTr="40EE1397" w14:paraId="017832B4">
        <w:trPr>
          <w:trHeight w:val="300"/>
        </w:trPr>
        <w:tc>
          <w:tcPr>
            <w:tcW w:w="1872" w:type="dxa"/>
            <w:tcMar/>
          </w:tcPr>
          <w:p w:rsidR="40EE1397" w:rsidP="40EE1397" w:rsidRDefault="40EE1397" w14:paraId="588AB5C4" w14:textId="0FA6C13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Access</w:t>
            </w:r>
          </w:p>
        </w:tc>
        <w:tc>
          <w:tcPr>
            <w:tcW w:w="1872" w:type="dxa"/>
            <w:tcMar/>
          </w:tcPr>
          <w:p w:rsidR="40EE1397" w:rsidP="40EE1397" w:rsidRDefault="40EE1397" w14:paraId="2E13E1C5" w14:textId="16973CF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A</w:t>
            </w:r>
          </w:p>
        </w:tc>
        <w:tc>
          <w:tcPr>
            <w:tcW w:w="1872" w:type="dxa"/>
            <w:tcMar/>
          </w:tcPr>
          <w:p w:rsidR="40EE1397" w:rsidP="40EE1397" w:rsidRDefault="40EE1397" w14:paraId="7E5A0350" w14:textId="72DE1AF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24.95</w:t>
            </w:r>
          </w:p>
        </w:tc>
        <w:tc>
          <w:tcPr>
            <w:tcW w:w="1872" w:type="dxa"/>
            <w:tcMar/>
          </w:tcPr>
          <w:p w:rsidR="40EE1397" w:rsidP="40EE1397" w:rsidRDefault="40EE1397" w14:paraId="702FD010" w14:textId="39E6CC3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23.36</w:t>
            </w:r>
          </w:p>
        </w:tc>
        <w:tc>
          <w:tcPr>
            <w:tcW w:w="1872" w:type="dxa"/>
            <w:tcMar/>
          </w:tcPr>
          <w:p w:rsidR="40EE1397" w:rsidP="40EE1397" w:rsidRDefault="40EE1397" w14:paraId="2CD08A89" w14:textId="2CDD606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Reference</w:t>
            </w:r>
          </w:p>
        </w:tc>
      </w:tr>
      <w:tr w:rsidR="40EE1397" w:rsidTr="40EE1397" w14:paraId="21F9FF5E">
        <w:trPr>
          <w:trHeight w:val="300"/>
        </w:trPr>
        <w:tc>
          <w:tcPr>
            <w:tcW w:w="1872" w:type="dxa"/>
            <w:tcMar/>
          </w:tcPr>
          <w:p w:rsidR="40EE1397" w:rsidP="40EE1397" w:rsidRDefault="40EE1397" w14:paraId="0D175C8A" w14:textId="0FC796F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Binding</w:t>
            </w:r>
          </w:p>
        </w:tc>
        <w:tc>
          <w:tcPr>
            <w:tcW w:w="1872" w:type="dxa"/>
            <w:tcMar/>
          </w:tcPr>
          <w:p w:rsidR="40EE1397" w:rsidP="40EE1397" w:rsidRDefault="40EE1397" w14:paraId="722EBB8C" w14:textId="140E182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B</w:t>
            </w:r>
          </w:p>
        </w:tc>
        <w:tc>
          <w:tcPr>
            <w:tcW w:w="1872" w:type="dxa"/>
            <w:tcMar/>
          </w:tcPr>
          <w:p w:rsidR="40EE1397" w:rsidP="40EE1397" w:rsidRDefault="40EE1397" w14:paraId="2348DCF8" w14:textId="542DA7E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26.25</w:t>
            </w:r>
          </w:p>
        </w:tc>
        <w:tc>
          <w:tcPr>
            <w:tcW w:w="1872" w:type="dxa"/>
            <w:tcMar/>
          </w:tcPr>
          <w:p w:rsidR="40EE1397" w:rsidP="40EE1397" w:rsidRDefault="40EE1397" w14:paraId="2002201F" w14:textId="693BA4B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25.46</w:t>
            </w:r>
          </w:p>
        </w:tc>
        <w:tc>
          <w:tcPr>
            <w:tcW w:w="1872" w:type="dxa"/>
            <w:tcMar/>
          </w:tcPr>
          <w:p w:rsidR="40EE1397" w:rsidP="40EE1397" w:rsidRDefault="40EE1397" w14:paraId="0BCA8779" w14:textId="0433EE5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1.838 Å</w:t>
            </w:r>
          </w:p>
        </w:tc>
      </w:tr>
      <w:tr w:rsidR="40EE1397" w:rsidTr="40EE1397" w14:paraId="7AA31598">
        <w:trPr>
          <w:trHeight w:val="300"/>
        </w:trPr>
        <w:tc>
          <w:tcPr>
            <w:tcW w:w="1872" w:type="dxa"/>
            <w:tcMar/>
          </w:tcPr>
          <w:p w:rsidR="40EE1397" w:rsidP="40EE1397" w:rsidRDefault="40EE1397" w14:paraId="1071C0B4" w14:textId="07A1BAC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Extrusion</w:t>
            </w:r>
          </w:p>
        </w:tc>
        <w:tc>
          <w:tcPr>
            <w:tcW w:w="1872" w:type="dxa"/>
            <w:tcMar/>
          </w:tcPr>
          <w:p w:rsidR="40EE1397" w:rsidP="40EE1397" w:rsidRDefault="40EE1397" w14:paraId="61565DC2" w14:textId="0BEB006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w:t>
            </w:r>
          </w:p>
        </w:tc>
        <w:tc>
          <w:tcPr>
            <w:tcW w:w="1872" w:type="dxa"/>
            <w:tcMar/>
          </w:tcPr>
          <w:p w:rsidR="40EE1397" w:rsidP="40EE1397" w:rsidRDefault="40EE1397" w14:paraId="0BAD1306" w14:textId="35AF878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28.29</w:t>
            </w:r>
          </w:p>
        </w:tc>
        <w:tc>
          <w:tcPr>
            <w:tcW w:w="1872" w:type="dxa"/>
            <w:tcMar/>
          </w:tcPr>
          <w:p w:rsidR="40EE1397" w:rsidP="40EE1397" w:rsidRDefault="40EE1397" w14:paraId="7E48E408" w14:textId="7A06975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21.43</w:t>
            </w:r>
          </w:p>
        </w:tc>
        <w:tc>
          <w:tcPr>
            <w:tcW w:w="1872" w:type="dxa"/>
            <w:tcMar/>
          </w:tcPr>
          <w:p w:rsidR="40EE1397" w:rsidP="40EE1397" w:rsidRDefault="40EE1397" w14:paraId="249B88CF" w14:textId="68399181">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1.347 Å</w:t>
            </w:r>
          </w:p>
        </w:tc>
      </w:tr>
    </w:tbl>
    <w:p w:rsidR="04A5FC70" w:rsidP="40EE1397" w:rsidRDefault="04A5FC70" w14:paraId="22E08104" w14:textId="735B127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rPr>
      </w:pPr>
    </w:p>
    <w:p w:rsidR="04A5FC70" w:rsidP="40EE1397" w:rsidRDefault="04A5FC70" w14:paraId="06DFFE4E" w14:textId="27069204">
      <w:pPr>
        <w:pStyle w:val="Heading2"/>
        <w:bidi w:val="0"/>
        <w:spacing w:before="299" w:beforeAutospacing="off" w:after="299"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21D3471C">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4.2 </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Identification of the Deep Binding Pocket</w:t>
      </w:r>
    </w:p>
    <w:p w:rsidR="04A5FC70" w:rsidP="40EE1397" w:rsidRDefault="04A5FC70" w14:paraId="056CAE61" w14:textId="031C3B02">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Potential ligand-binding pockets were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identified</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using P2Rank 2.5.1. Analysis of the predicted pockets in the context of the three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MexB</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conformational states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identified</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a functionally relevant pocket within the porter domain of the Binding-state structure. This pocket was selected as the Deep Binding Pocket (DBP) for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subsequent</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ligand screening</w:t>
      </w:r>
      <w:r w:rsidRPr="40EE1397" w:rsidR="0D1F2AD3">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0D1F2AD3">
        <w:rPr>
          <w:rFonts w:ascii="Times New Roman" w:hAnsi="Times New Roman" w:eastAsia="Times New Roman" w:cs="Times New Roman" w:asciiTheme="minorAscii" w:hAnsiTheme="minorAscii" w:eastAsiaTheme="minorAscii" w:cstheme="minorAscii"/>
          <w:noProof w:val="0"/>
          <w:color w:val="auto"/>
          <w:u w:val="none"/>
          <w:lang w:val="en-US"/>
        </w:rPr>
        <w:t>(</w:t>
      </w:r>
      <w:hyperlink r:id="R3756327b5d6c40fe">
        <w:r w:rsidRPr="40EE1397" w:rsidR="0D1F2AD3">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Radoslav </w:t>
        </w:r>
      </w:hyperlink>
      <w:r w:rsidRPr="40EE1397" w:rsidR="0D1F2AD3">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 2018).</w:t>
      </w:r>
    </w:p>
    <w:p w:rsidR="04A5FC70" w:rsidP="40EE1397" w:rsidRDefault="04A5FC70" w14:paraId="3A2969B8" w14:textId="2CA2CD8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docking region was defined around the predicted DBP using a grid center of −11.731, −0.815, and −28.409 Å along the X, Y, and Z axes, respectively. The docking box dimensions were 32 × 28 × 28 Å.</w:t>
      </w:r>
    </w:p>
    <w:p w:rsidR="04A5FC70" w:rsidP="40EE1397" w:rsidRDefault="04A5FC70" w14:paraId="79A474CA" w14:textId="0AA8FDE7">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Six residues located within the selected pocket were defined as the core DBP residues: VAL139, PHE178, TYR327, PHE573, PHE610, and PHE628.</w:t>
      </w:r>
    </w:p>
    <w:p w:rsidR="04A5FC70" w:rsidP="40EE1397" w:rsidRDefault="04A5FC70" w14:paraId="28EA13EF" w14:textId="5F833AE0">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Table 2. Core residues of the MexB Deep Binding Pocket</w:t>
      </w:r>
    </w:p>
    <w:tbl>
      <w:tblPr>
        <w:tblStyle w:val="TableGrid"/>
        <w:bidiVisual w:val="0"/>
        <w:tblW w:w="0" w:type="auto"/>
        <w:tblLook w:val="06A0" w:firstRow="1" w:lastRow="0" w:firstColumn="1" w:lastColumn="0" w:noHBand="1" w:noVBand="1"/>
      </w:tblPr>
      <w:tblGrid>
        <w:gridCol w:w="3120"/>
        <w:gridCol w:w="3120"/>
        <w:gridCol w:w="3120"/>
      </w:tblGrid>
      <w:tr w:rsidR="40EE1397" w:rsidTr="40EE1397" w14:paraId="7951C0EA">
        <w:trPr>
          <w:trHeight w:val="300"/>
        </w:trPr>
        <w:tc>
          <w:tcPr>
            <w:tcW w:w="3120" w:type="dxa"/>
            <w:tcMar/>
          </w:tcPr>
          <w:p w:rsidR="40EE1397" w:rsidP="40EE1397" w:rsidRDefault="40EE1397" w14:paraId="3A1268FF" w14:textId="573622B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Residue</w:t>
            </w:r>
          </w:p>
        </w:tc>
        <w:tc>
          <w:tcPr>
            <w:tcW w:w="3120" w:type="dxa"/>
            <w:tcMar/>
          </w:tcPr>
          <w:p w:rsidR="40EE1397" w:rsidP="40EE1397" w:rsidRDefault="40EE1397" w14:paraId="6A49E1DC" w14:textId="28332B2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Amino acid</w:t>
            </w:r>
          </w:p>
        </w:tc>
        <w:tc>
          <w:tcPr>
            <w:tcW w:w="3120" w:type="dxa"/>
            <w:tcMar/>
          </w:tcPr>
          <w:p w:rsidR="40EE1397" w:rsidP="40EE1397" w:rsidRDefault="40EE1397" w14:paraId="3F20E7D6" w14:textId="3A456CF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Structural characteristic</w:t>
            </w:r>
          </w:p>
        </w:tc>
      </w:tr>
      <w:tr w:rsidR="40EE1397" w:rsidTr="40EE1397" w14:paraId="1CE0A541">
        <w:trPr>
          <w:trHeight w:val="300"/>
        </w:trPr>
        <w:tc>
          <w:tcPr>
            <w:tcW w:w="3120" w:type="dxa"/>
            <w:tcMar/>
          </w:tcPr>
          <w:p w:rsidR="40EE1397" w:rsidP="40EE1397" w:rsidRDefault="40EE1397" w14:paraId="449D7D1E" w14:textId="5D67482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VAL139</w:t>
            </w:r>
          </w:p>
        </w:tc>
        <w:tc>
          <w:tcPr>
            <w:tcW w:w="3120" w:type="dxa"/>
            <w:tcMar/>
          </w:tcPr>
          <w:p w:rsidR="40EE1397" w:rsidP="40EE1397" w:rsidRDefault="40EE1397" w14:paraId="3FEBC666" w14:textId="0B7FABE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Valine</w:t>
            </w:r>
          </w:p>
        </w:tc>
        <w:tc>
          <w:tcPr>
            <w:tcW w:w="3120" w:type="dxa"/>
            <w:tcMar/>
          </w:tcPr>
          <w:p w:rsidR="40EE1397" w:rsidP="40EE1397" w:rsidRDefault="40EE1397" w14:paraId="0B8B852D" w14:textId="6535D52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Hydrophobic pocket residue</w:t>
            </w:r>
          </w:p>
        </w:tc>
      </w:tr>
      <w:tr w:rsidR="40EE1397" w:rsidTr="40EE1397" w14:paraId="2E1C18EE">
        <w:trPr>
          <w:trHeight w:val="300"/>
        </w:trPr>
        <w:tc>
          <w:tcPr>
            <w:tcW w:w="3120" w:type="dxa"/>
            <w:tcMar/>
          </w:tcPr>
          <w:p w:rsidR="40EE1397" w:rsidP="40EE1397" w:rsidRDefault="40EE1397" w14:paraId="55D3890E" w14:textId="4932C7A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PHE178</w:t>
            </w:r>
          </w:p>
        </w:tc>
        <w:tc>
          <w:tcPr>
            <w:tcW w:w="3120" w:type="dxa"/>
            <w:tcMar/>
          </w:tcPr>
          <w:p w:rsidR="40EE1397" w:rsidP="40EE1397" w:rsidRDefault="40EE1397" w14:paraId="0A2B842A" w14:textId="0A12A04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Phenylalanine</w:t>
            </w:r>
          </w:p>
        </w:tc>
        <w:tc>
          <w:tcPr>
            <w:tcW w:w="3120" w:type="dxa"/>
            <w:tcMar/>
          </w:tcPr>
          <w:p w:rsidR="40EE1397" w:rsidP="40EE1397" w:rsidRDefault="40EE1397" w14:paraId="2520627C" w14:textId="5CEFD98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Aromatic pocket residue</w:t>
            </w:r>
          </w:p>
        </w:tc>
      </w:tr>
      <w:tr w:rsidR="40EE1397" w:rsidTr="40EE1397" w14:paraId="04AE7E06">
        <w:trPr>
          <w:trHeight w:val="300"/>
        </w:trPr>
        <w:tc>
          <w:tcPr>
            <w:tcW w:w="3120" w:type="dxa"/>
            <w:tcMar/>
          </w:tcPr>
          <w:p w:rsidR="40EE1397" w:rsidP="40EE1397" w:rsidRDefault="40EE1397" w14:paraId="2DE6C391" w14:textId="0A79FCB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TYR327</w:t>
            </w:r>
          </w:p>
        </w:tc>
        <w:tc>
          <w:tcPr>
            <w:tcW w:w="3120" w:type="dxa"/>
            <w:tcMar/>
          </w:tcPr>
          <w:p w:rsidR="40EE1397" w:rsidP="40EE1397" w:rsidRDefault="40EE1397" w14:paraId="5B303529" w14:textId="6A4BE01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Tyrosine</w:t>
            </w:r>
          </w:p>
        </w:tc>
        <w:tc>
          <w:tcPr>
            <w:tcW w:w="3120" w:type="dxa"/>
            <w:tcMar/>
          </w:tcPr>
          <w:p w:rsidR="40EE1397" w:rsidP="40EE1397" w:rsidRDefault="40EE1397" w14:paraId="7E9E99B5" w14:textId="2892F0E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Aromatic pocket residue</w:t>
            </w:r>
          </w:p>
        </w:tc>
      </w:tr>
      <w:tr w:rsidR="40EE1397" w:rsidTr="40EE1397" w14:paraId="4F7644E0">
        <w:trPr>
          <w:trHeight w:val="300"/>
        </w:trPr>
        <w:tc>
          <w:tcPr>
            <w:tcW w:w="3120" w:type="dxa"/>
            <w:tcMar/>
          </w:tcPr>
          <w:p w:rsidR="40EE1397" w:rsidP="40EE1397" w:rsidRDefault="40EE1397" w14:paraId="07963366" w14:textId="7E340DF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PHE573</w:t>
            </w:r>
          </w:p>
        </w:tc>
        <w:tc>
          <w:tcPr>
            <w:tcW w:w="3120" w:type="dxa"/>
            <w:tcMar/>
          </w:tcPr>
          <w:p w:rsidR="40EE1397" w:rsidP="40EE1397" w:rsidRDefault="40EE1397" w14:paraId="44DEDA1A" w14:textId="5DE8202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Phenylalanine</w:t>
            </w:r>
          </w:p>
        </w:tc>
        <w:tc>
          <w:tcPr>
            <w:tcW w:w="3120" w:type="dxa"/>
            <w:tcMar/>
          </w:tcPr>
          <w:p w:rsidR="40EE1397" w:rsidP="40EE1397" w:rsidRDefault="40EE1397" w14:paraId="74928673" w14:textId="4F6D6B9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Aromatic pocket residue</w:t>
            </w:r>
          </w:p>
        </w:tc>
      </w:tr>
      <w:tr w:rsidR="40EE1397" w:rsidTr="40EE1397" w14:paraId="461B9F42">
        <w:trPr>
          <w:trHeight w:val="300"/>
        </w:trPr>
        <w:tc>
          <w:tcPr>
            <w:tcW w:w="3120" w:type="dxa"/>
            <w:tcMar/>
          </w:tcPr>
          <w:p w:rsidR="40EE1397" w:rsidP="40EE1397" w:rsidRDefault="40EE1397" w14:paraId="51F0DFFD" w14:textId="4C05970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PHE610</w:t>
            </w:r>
          </w:p>
        </w:tc>
        <w:tc>
          <w:tcPr>
            <w:tcW w:w="3120" w:type="dxa"/>
            <w:tcMar/>
          </w:tcPr>
          <w:p w:rsidR="40EE1397" w:rsidP="40EE1397" w:rsidRDefault="40EE1397" w14:paraId="42DF7C2A" w14:textId="06352E1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Phenylalanine</w:t>
            </w:r>
          </w:p>
        </w:tc>
        <w:tc>
          <w:tcPr>
            <w:tcW w:w="3120" w:type="dxa"/>
            <w:tcMar/>
          </w:tcPr>
          <w:p w:rsidR="40EE1397" w:rsidP="40EE1397" w:rsidRDefault="40EE1397" w14:paraId="13C058EE" w14:textId="572C4A3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Aromatic pocket residue</w:t>
            </w:r>
          </w:p>
        </w:tc>
      </w:tr>
      <w:tr w:rsidR="40EE1397" w:rsidTr="40EE1397" w14:paraId="26C57B0D">
        <w:trPr>
          <w:trHeight w:val="300"/>
        </w:trPr>
        <w:tc>
          <w:tcPr>
            <w:tcW w:w="3120" w:type="dxa"/>
            <w:tcMar/>
          </w:tcPr>
          <w:p w:rsidR="40EE1397" w:rsidP="40EE1397" w:rsidRDefault="40EE1397" w14:paraId="1C04D040" w14:textId="47F0B52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PHE628</w:t>
            </w:r>
          </w:p>
        </w:tc>
        <w:tc>
          <w:tcPr>
            <w:tcW w:w="3120" w:type="dxa"/>
            <w:tcMar/>
          </w:tcPr>
          <w:p w:rsidR="40EE1397" w:rsidP="40EE1397" w:rsidRDefault="40EE1397" w14:paraId="463825FC" w14:textId="622C811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Phenylalanine</w:t>
            </w:r>
          </w:p>
        </w:tc>
        <w:tc>
          <w:tcPr>
            <w:tcW w:w="3120" w:type="dxa"/>
            <w:tcMar/>
          </w:tcPr>
          <w:p w:rsidR="40EE1397" w:rsidP="40EE1397" w:rsidRDefault="40EE1397" w14:paraId="7ACC6D07" w14:textId="5D67213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Aromatic pocket residue</w:t>
            </w:r>
          </w:p>
        </w:tc>
      </w:tr>
    </w:tbl>
    <w:p w:rsidR="04A5FC70" w:rsidP="40EE1397" w:rsidRDefault="04A5FC70" w14:paraId="486986B4" w14:textId="596A121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lang w:val="en-US"/>
        </w:rPr>
      </w:pPr>
    </w:p>
    <w:p w:rsidR="04A5FC70" w:rsidP="40EE1397" w:rsidRDefault="04A5FC70" w14:paraId="13B77456" w14:textId="212B8DB9">
      <w:pPr>
        <w:bidi w:val="0"/>
        <w:spacing w:before="24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The DBP therefore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contains</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a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predominantly hydrophobic</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and aromatic environment, with four phenylalanine residues and one tyrosine contributing to the selected ligand-interaction region.</w:t>
      </w:r>
    </w:p>
    <w:p w:rsidR="04A5FC70" w:rsidP="40EE1397" w:rsidRDefault="04A5FC70" w14:paraId="29031816" w14:textId="059E8F5B">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67FF5381">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4</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.3 Molecular docking of candidate ligands</w:t>
      </w:r>
    </w:p>
    <w:p w:rsidR="04A5FC70" w:rsidP="40EE1397" w:rsidRDefault="04A5FC70" w14:paraId="52756286" w14:textId="5478EFA7">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A total of 30 candidate ligands were docked into the defined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MexB</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DBP using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AutoDock</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Vina v1.2.7. The same receptor structure, docking grid, exhaustiveness, number of modes, energy range, and random seed were used for all ligands</w:t>
      </w:r>
      <w:r w:rsidRPr="40EE1397" w:rsidR="5EF0EF1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5EF0EF18">
        <w:rPr>
          <w:rFonts w:ascii="Times New Roman" w:hAnsi="Times New Roman" w:eastAsia="Times New Roman" w:cs="Times New Roman" w:asciiTheme="minorAscii" w:hAnsiTheme="minorAscii" w:eastAsiaTheme="minorAscii" w:cstheme="minorAscii"/>
          <w:noProof w:val="0"/>
          <w:sz w:val="24"/>
          <w:szCs w:val="24"/>
          <w:lang w:val="en-US"/>
        </w:rPr>
        <w:t>Eberhardt et al., 2021).</w:t>
      </w:r>
    </w:p>
    <w:p w:rsidR="04A5FC70" w:rsidP="40EE1397" w:rsidRDefault="04A5FC70" w14:paraId="759CF480" w14:textId="677A086A">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five compounds with the most favorable predicted docking scores were selected for detailed interaction analysis. Their Vina scores ranged from −10.44 to −12.90 kcal/mol.</w:t>
      </w:r>
    </w:p>
    <w:p w:rsidR="04A5FC70" w:rsidP="40EE1397" w:rsidRDefault="04A5FC70" w14:paraId="0082DE47" w14:textId="4893A7DD">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Table 3. Top five computationally prioritized ligands</w:t>
      </w:r>
    </w:p>
    <w:tbl>
      <w:tblPr>
        <w:tblStyle w:val="TableGrid"/>
        <w:bidiVisual w:val="0"/>
        <w:tblW w:w="0" w:type="auto"/>
        <w:tblLook w:val="06A0" w:firstRow="1" w:lastRow="0" w:firstColumn="1" w:lastColumn="0" w:noHBand="1" w:noVBand="1"/>
      </w:tblPr>
      <w:tblGrid>
        <w:gridCol w:w="2340"/>
        <w:gridCol w:w="2340"/>
        <w:gridCol w:w="2340"/>
        <w:gridCol w:w="2340"/>
      </w:tblGrid>
      <w:tr w:rsidR="40EE1397" w:rsidTr="40EE1397" w14:paraId="38ADDCF8">
        <w:trPr>
          <w:trHeight w:val="300"/>
        </w:trPr>
        <w:tc>
          <w:tcPr>
            <w:tcW w:w="2340" w:type="dxa"/>
            <w:tcMar/>
          </w:tcPr>
          <w:p w:rsidR="40EE1397" w:rsidP="40EE1397" w:rsidRDefault="40EE1397" w14:paraId="33B49EE5" w14:textId="608B83F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Rank</w:t>
            </w:r>
          </w:p>
        </w:tc>
        <w:tc>
          <w:tcPr>
            <w:tcW w:w="2340" w:type="dxa"/>
            <w:tcMar/>
          </w:tcPr>
          <w:p w:rsidR="40EE1397" w:rsidP="40EE1397" w:rsidRDefault="40EE1397" w14:paraId="78B65961" w14:textId="5EE6ED2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Ligand</w:t>
            </w:r>
          </w:p>
        </w:tc>
        <w:tc>
          <w:tcPr>
            <w:tcW w:w="2340" w:type="dxa"/>
            <w:tcMar/>
          </w:tcPr>
          <w:p w:rsidR="40EE1397" w:rsidP="40EE1397" w:rsidRDefault="40EE1397" w14:paraId="1EDC9950" w14:textId="508EB99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Vina score (kcal/mol)</w:t>
            </w:r>
          </w:p>
        </w:tc>
        <w:tc>
          <w:tcPr>
            <w:tcW w:w="2340" w:type="dxa"/>
            <w:tcMar/>
          </w:tcPr>
          <w:p w:rsidR="40EE1397" w:rsidP="40EE1397" w:rsidRDefault="40EE1397" w14:paraId="53E71498" w14:textId="2413F73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Core contacts</w:t>
            </w:r>
          </w:p>
        </w:tc>
      </w:tr>
      <w:tr w:rsidR="40EE1397" w:rsidTr="40EE1397" w14:paraId="6B2BF5AB">
        <w:trPr>
          <w:trHeight w:val="300"/>
        </w:trPr>
        <w:tc>
          <w:tcPr>
            <w:tcW w:w="2340" w:type="dxa"/>
            <w:tcMar/>
          </w:tcPr>
          <w:p w:rsidR="40EE1397" w:rsidP="40EE1397" w:rsidRDefault="40EE1397" w14:paraId="511B35AE" w14:textId="5F03F48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w:t>
            </w:r>
          </w:p>
        </w:tc>
        <w:tc>
          <w:tcPr>
            <w:tcW w:w="2340" w:type="dxa"/>
            <w:tcMar/>
          </w:tcPr>
          <w:p w:rsidR="40EE1397" w:rsidP="40EE1397" w:rsidRDefault="40EE1397" w14:paraId="424E0B06" w14:textId="6BE0AE27">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CHEMBL254328</w:t>
            </w:r>
          </w:p>
        </w:tc>
        <w:tc>
          <w:tcPr>
            <w:tcW w:w="2340" w:type="dxa"/>
            <w:tcMar/>
          </w:tcPr>
          <w:p w:rsidR="40EE1397" w:rsidP="40EE1397" w:rsidRDefault="40EE1397" w14:paraId="2E7313CF" w14:textId="1B06BBA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−12.90</w:t>
            </w:r>
          </w:p>
        </w:tc>
        <w:tc>
          <w:tcPr>
            <w:tcW w:w="2340" w:type="dxa"/>
            <w:tcMar/>
          </w:tcPr>
          <w:p w:rsidR="40EE1397" w:rsidP="40EE1397" w:rsidRDefault="40EE1397" w14:paraId="3BBCCF6F" w14:textId="2A2E15C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2E77C96D">
        <w:trPr>
          <w:trHeight w:val="300"/>
        </w:trPr>
        <w:tc>
          <w:tcPr>
            <w:tcW w:w="2340" w:type="dxa"/>
            <w:tcMar/>
          </w:tcPr>
          <w:p w:rsidR="40EE1397" w:rsidP="40EE1397" w:rsidRDefault="40EE1397" w14:paraId="5D128DFA" w14:textId="02313D3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2</w:t>
            </w:r>
          </w:p>
        </w:tc>
        <w:tc>
          <w:tcPr>
            <w:tcW w:w="2340" w:type="dxa"/>
            <w:tcMar/>
          </w:tcPr>
          <w:p w:rsidR="40EE1397" w:rsidP="40EE1397" w:rsidRDefault="40EE1397" w14:paraId="35835A42" w14:textId="0E047E9E">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CHEMBL1170</w:t>
            </w:r>
          </w:p>
        </w:tc>
        <w:tc>
          <w:tcPr>
            <w:tcW w:w="2340" w:type="dxa"/>
            <w:tcMar/>
          </w:tcPr>
          <w:p w:rsidR="40EE1397" w:rsidP="40EE1397" w:rsidRDefault="40EE1397" w14:paraId="39E64E69" w14:textId="1F72394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−11.72</w:t>
            </w:r>
          </w:p>
        </w:tc>
        <w:tc>
          <w:tcPr>
            <w:tcW w:w="2340" w:type="dxa"/>
            <w:tcMar/>
          </w:tcPr>
          <w:p w:rsidR="40EE1397" w:rsidP="40EE1397" w:rsidRDefault="40EE1397" w14:paraId="2C3A6446" w14:textId="1C9F61A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4CE248BE">
        <w:trPr>
          <w:trHeight w:val="300"/>
        </w:trPr>
        <w:tc>
          <w:tcPr>
            <w:tcW w:w="2340" w:type="dxa"/>
            <w:tcMar/>
          </w:tcPr>
          <w:p w:rsidR="40EE1397" w:rsidP="40EE1397" w:rsidRDefault="40EE1397" w14:paraId="79419294" w14:textId="20E59D6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w:t>
            </w:r>
          </w:p>
        </w:tc>
        <w:tc>
          <w:tcPr>
            <w:tcW w:w="2340" w:type="dxa"/>
            <w:tcMar/>
          </w:tcPr>
          <w:p w:rsidR="40EE1397" w:rsidP="40EE1397" w:rsidRDefault="40EE1397" w14:paraId="4B6A6AE9" w14:textId="3C7786D7">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CHEMBL1200374</w:t>
            </w:r>
          </w:p>
        </w:tc>
        <w:tc>
          <w:tcPr>
            <w:tcW w:w="2340" w:type="dxa"/>
            <w:tcMar/>
          </w:tcPr>
          <w:p w:rsidR="40EE1397" w:rsidP="40EE1397" w:rsidRDefault="40EE1397" w14:paraId="44DF9FCA" w14:textId="234334E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−11.25</w:t>
            </w:r>
          </w:p>
        </w:tc>
        <w:tc>
          <w:tcPr>
            <w:tcW w:w="2340" w:type="dxa"/>
            <w:tcMar/>
          </w:tcPr>
          <w:p w:rsidR="40EE1397" w:rsidP="40EE1397" w:rsidRDefault="40EE1397" w14:paraId="6A94F7C8" w14:textId="274E1F9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441B1E40">
        <w:trPr>
          <w:trHeight w:val="300"/>
        </w:trPr>
        <w:tc>
          <w:tcPr>
            <w:tcW w:w="2340" w:type="dxa"/>
            <w:tcMar/>
          </w:tcPr>
          <w:p w:rsidR="40EE1397" w:rsidP="40EE1397" w:rsidRDefault="40EE1397" w14:paraId="5F6B475B" w14:textId="3DA6C15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4</w:t>
            </w:r>
          </w:p>
        </w:tc>
        <w:tc>
          <w:tcPr>
            <w:tcW w:w="2340" w:type="dxa"/>
            <w:tcMar/>
          </w:tcPr>
          <w:p w:rsidR="40EE1397" w:rsidP="40EE1397" w:rsidRDefault="40EE1397" w14:paraId="415DF011" w14:textId="7E53EF49">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CHEMBL2107826</w:t>
            </w:r>
          </w:p>
        </w:tc>
        <w:tc>
          <w:tcPr>
            <w:tcW w:w="2340" w:type="dxa"/>
            <w:tcMar/>
          </w:tcPr>
          <w:p w:rsidR="40EE1397" w:rsidP="40EE1397" w:rsidRDefault="40EE1397" w14:paraId="7AEA9712" w14:textId="14BE5C5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−10.98</w:t>
            </w:r>
          </w:p>
        </w:tc>
        <w:tc>
          <w:tcPr>
            <w:tcW w:w="2340" w:type="dxa"/>
            <w:tcMar/>
          </w:tcPr>
          <w:p w:rsidR="40EE1397" w:rsidP="40EE1397" w:rsidRDefault="40EE1397" w14:paraId="033FF263" w14:textId="4B4303A6">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5FA0C87A">
        <w:trPr>
          <w:trHeight w:val="300"/>
        </w:trPr>
        <w:tc>
          <w:tcPr>
            <w:tcW w:w="2340" w:type="dxa"/>
            <w:tcMar/>
          </w:tcPr>
          <w:p w:rsidR="40EE1397" w:rsidP="40EE1397" w:rsidRDefault="40EE1397" w14:paraId="4146ED4E" w14:textId="6970066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5</w:t>
            </w:r>
          </w:p>
        </w:tc>
        <w:tc>
          <w:tcPr>
            <w:tcW w:w="2340" w:type="dxa"/>
            <w:tcMar/>
          </w:tcPr>
          <w:p w:rsidR="40EE1397" w:rsidP="40EE1397" w:rsidRDefault="40EE1397" w14:paraId="6F80778A" w14:textId="1E99D946">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CHEMBL1336</w:t>
            </w:r>
          </w:p>
        </w:tc>
        <w:tc>
          <w:tcPr>
            <w:tcW w:w="2340" w:type="dxa"/>
            <w:tcMar/>
          </w:tcPr>
          <w:p w:rsidR="40EE1397" w:rsidP="40EE1397" w:rsidRDefault="40EE1397" w14:paraId="48D38ED7" w14:textId="2A845566">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−10.44</w:t>
            </w:r>
          </w:p>
        </w:tc>
        <w:tc>
          <w:tcPr>
            <w:tcW w:w="2340" w:type="dxa"/>
            <w:tcMar/>
          </w:tcPr>
          <w:p w:rsidR="40EE1397" w:rsidP="40EE1397" w:rsidRDefault="40EE1397" w14:paraId="7DFC4112" w14:textId="3E61BB26">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bl>
    <w:p w:rsidR="04A5FC70" w:rsidP="40EE1397" w:rsidRDefault="04A5FC70" w14:paraId="38708DBB" w14:textId="5A904A4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lang w:val="en-US"/>
        </w:rPr>
      </w:pPr>
    </w:p>
    <w:p w:rsidR="04A5FC70" w:rsidP="40EE1397" w:rsidRDefault="04A5FC70" w14:paraId="1C5F35EC" w14:textId="6ACDF6CB">
      <w:pPr>
        <w:bidi w:val="0"/>
        <w:spacing w:before="24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All five prioritized compounds showed close contacts with all six predefined DBP core residues using the 4 Å contact criterion.</w:t>
      </w:r>
    </w:p>
    <w:p w:rsidR="04A5FC70" w:rsidP="40EE1397" w:rsidRDefault="04A5FC70" w14:paraId="41472175" w14:textId="5F102B6C">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1D273D5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4</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.4 Core-residue interaction analysis</w:t>
      </w:r>
    </w:p>
    <w:p w:rsidR="04A5FC70" w:rsidP="40EE1397" w:rsidRDefault="04A5FC70" w14:paraId="1AA8F7BB" w14:textId="153BFCF2">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Minimum heavy-atom distances between the docked ligands and the six DBP core residues were calculated to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determine</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whether the compounds occupied the intended binding region</w:t>
      </w:r>
      <w:r w:rsidRPr="40EE1397" w:rsidR="2CE6FE86">
        <w:rPr>
          <w:rFonts w:ascii="Times New Roman" w:hAnsi="Times New Roman" w:eastAsia="Times New Roman" w:cs="Times New Roman" w:asciiTheme="minorAscii" w:hAnsiTheme="minorAscii" w:eastAsiaTheme="minorAscii" w:cstheme="minorAscii"/>
          <w:noProof w:val="0"/>
          <w:sz w:val="24"/>
          <w:szCs w:val="24"/>
          <w:lang w:val="en-US"/>
        </w:rPr>
        <w:t xml:space="preserve"> (Ref-</w:t>
      </w:r>
      <w:r w:rsidRPr="40EE1397" w:rsidR="2CE6FE86">
        <w:rPr>
          <w:rFonts w:ascii="Times New Roman" w:hAnsi="Times New Roman" w:eastAsia="Times New Roman" w:cs="Times New Roman" w:asciiTheme="minorAscii" w:hAnsiTheme="minorAscii" w:eastAsiaTheme="minorAscii" w:cstheme="minorAscii"/>
          <w:noProof w:val="0"/>
          <w:sz w:val="24"/>
          <w:szCs w:val="24"/>
          <w:lang w:val="en-US"/>
        </w:rPr>
        <w:t>Structural analysis)</w:t>
      </w:r>
    </w:p>
    <w:p w:rsidR="04A5FC70" w:rsidP="40EE1397" w:rsidRDefault="04A5FC70" w14:paraId="439ED218" w14:textId="0009C2E9">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All five computationally prioritized compounds demonstrated distances below 4 Å for each of the six core residues. The observed distances ranged from approximately 3.15 to 3.75 Å.</w:t>
      </w:r>
    </w:p>
    <w:p w:rsidR="04A5FC70" w:rsidP="40EE1397" w:rsidRDefault="04A5FC70" w14:paraId="2BD9F31F" w14:textId="3F599AAB">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Table 4. Minimum distances between top predicted ligands and DBP core residues</w:t>
      </w:r>
    </w:p>
    <w:tbl>
      <w:tblPr>
        <w:tblStyle w:val="TableGrid"/>
        <w:bidiVisual w:val="0"/>
        <w:tblW w:w="0" w:type="auto"/>
        <w:tblLook w:val="06A0" w:firstRow="1" w:lastRow="0" w:firstColumn="1" w:lastColumn="0" w:noHBand="1" w:noVBand="1"/>
      </w:tblPr>
      <w:tblGrid>
        <w:gridCol w:w="1170"/>
        <w:gridCol w:w="1170"/>
        <w:gridCol w:w="1170"/>
        <w:gridCol w:w="1170"/>
        <w:gridCol w:w="1170"/>
        <w:gridCol w:w="1170"/>
        <w:gridCol w:w="1170"/>
        <w:gridCol w:w="1170"/>
      </w:tblGrid>
      <w:tr w:rsidR="40EE1397" w:rsidTr="40EE1397" w14:paraId="5E2197E9">
        <w:trPr>
          <w:trHeight w:val="300"/>
        </w:trPr>
        <w:tc>
          <w:tcPr>
            <w:tcW w:w="1170" w:type="dxa"/>
            <w:tcMar/>
          </w:tcPr>
          <w:p w:rsidR="40EE1397" w:rsidP="40EE1397" w:rsidRDefault="40EE1397" w14:paraId="4FC707D5" w14:textId="46D40A4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Ligand</w:t>
            </w:r>
          </w:p>
        </w:tc>
        <w:tc>
          <w:tcPr>
            <w:tcW w:w="1170" w:type="dxa"/>
            <w:tcMar/>
          </w:tcPr>
          <w:p w:rsidR="40EE1397" w:rsidP="40EE1397" w:rsidRDefault="40EE1397" w14:paraId="26AC8F6F" w14:textId="3D7C7BA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PHE178</w:t>
            </w:r>
          </w:p>
        </w:tc>
        <w:tc>
          <w:tcPr>
            <w:tcW w:w="1170" w:type="dxa"/>
            <w:tcMar/>
          </w:tcPr>
          <w:p w:rsidR="40EE1397" w:rsidP="40EE1397" w:rsidRDefault="40EE1397" w14:paraId="253EFF8F" w14:textId="759C745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VAL139</w:t>
            </w:r>
          </w:p>
        </w:tc>
        <w:tc>
          <w:tcPr>
            <w:tcW w:w="1170" w:type="dxa"/>
            <w:tcMar/>
          </w:tcPr>
          <w:p w:rsidR="40EE1397" w:rsidP="40EE1397" w:rsidRDefault="40EE1397" w14:paraId="71E87821" w14:textId="5E2AE32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TYR327</w:t>
            </w:r>
          </w:p>
        </w:tc>
        <w:tc>
          <w:tcPr>
            <w:tcW w:w="1170" w:type="dxa"/>
            <w:tcMar/>
          </w:tcPr>
          <w:p w:rsidR="40EE1397" w:rsidP="40EE1397" w:rsidRDefault="40EE1397" w14:paraId="290B5701" w14:textId="75D8736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PHE573</w:t>
            </w:r>
          </w:p>
        </w:tc>
        <w:tc>
          <w:tcPr>
            <w:tcW w:w="1170" w:type="dxa"/>
            <w:tcMar/>
          </w:tcPr>
          <w:p w:rsidR="40EE1397" w:rsidP="40EE1397" w:rsidRDefault="40EE1397" w14:paraId="3602459A" w14:textId="78F0ACE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PHE610</w:t>
            </w:r>
          </w:p>
        </w:tc>
        <w:tc>
          <w:tcPr>
            <w:tcW w:w="1170" w:type="dxa"/>
            <w:tcMar/>
          </w:tcPr>
          <w:p w:rsidR="40EE1397" w:rsidP="40EE1397" w:rsidRDefault="40EE1397" w14:paraId="4A37EA9D" w14:textId="558CCA3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PHE628</w:t>
            </w:r>
          </w:p>
        </w:tc>
        <w:tc>
          <w:tcPr>
            <w:tcW w:w="1170" w:type="dxa"/>
            <w:tcMar/>
          </w:tcPr>
          <w:p w:rsidR="40EE1397" w:rsidP="40EE1397" w:rsidRDefault="40EE1397" w14:paraId="5D994151" w14:textId="6022BF9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Contacts</w:t>
            </w:r>
          </w:p>
        </w:tc>
      </w:tr>
      <w:tr w:rsidR="40EE1397" w:rsidTr="40EE1397" w14:paraId="0AB3524C">
        <w:trPr>
          <w:trHeight w:val="300"/>
        </w:trPr>
        <w:tc>
          <w:tcPr>
            <w:tcW w:w="1170" w:type="dxa"/>
            <w:tcMar/>
          </w:tcPr>
          <w:p w:rsidR="40EE1397" w:rsidP="40EE1397" w:rsidRDefault="40EE1397" w14:paraId="2FE1A25D" w14:textId="25601F8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CHEMBL254328</w:t>
            </w:r>
          </w:p>
        </w:tc>
        <w:tc>
          <w:tcPr>
            <w:tcW w:w="1170" w:type="dxa"/>
            <w:tcMar/>
          </w:tcPr>
          <w:p w:rsidR="40EE1397" w:rsidP="40EE1397" w:rsidRDefault="40EE1397" w14:paraId="53459F82" w14:textId="665805F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3.154</w:t>
            </w:r>
          </w:p>
        </w:tc>
        <w:tc>
          <w:tcPr>
            <w:tcW w:w="1170" w:type="dxa"/>
            <w:tcMar/>
          </w:tcPr>
          <w:p w:rsidR="40EE1397" w:rsidP="40EE1397" w:rsidRDefault="40EE1397" w14:paraId="1D3699AA" w14:textId="1FDE34F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3.487</w:t>
            </w:r>
          </w:p>
        </w:tc>
        <w:tc>
          <w:tcPr>
            <w:tcW w:w="1170" w:type="dxa"/>
            <w:tcMar/>
          </w:tcPr>
          <w:p w:rsidR="40EE1397" w:rsidP="40EE1397" w:rsidRDefault="40EE1397" w14:paraId="1024A857" w14:textId="4D80934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3.566</w:t>
            </w:r>
          </w:p>
        </w:tc>
        <w:tc>
          <w:tcPr>
            <w:tcW w:w="1170" w:type="dxa"/>
            <w:tcMar/>
          </w:tcPr>
          <w:p w:rsidR="40EE1397" w:rsidP="40EE1397" w:rsidRDefault="40EE1397" w14:paraId="0A880FB1" w14:textId="4F77354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3.731</w:t>
            </w:r>
          </w:p>
        </w:tc>
        <w:tc>
          <w:tcPr>
            <w:tcW w:w="1170" w:type="dxa"/>
            <w:tcMar/>
          </w:tcPr>
          <w:p w:rsidR="40EE1397" w:rsidP="40EE1397" w:rsidRDefault="40EE1397" w14:paraId="6491B628" w14:textId="5250130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3.705</w:t>
            </w:r>
          </w:p>
        </w:tc>
        <w:tc>
          <w:tcPr>
            <w:tcW w:w="1170" w:type="dxa"/>
            <w:tcMar/>
          </w:tcPr>
          <w:p w:rsidR="40EE1397" w:rsidP="40EE1397" w:rsidRDefault="40EE1397" w14:paraId="630F4EFD" w14:textId="27F3C2D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3.429</w:t>
            </w:r>
          </w:p>
        </w:tc>
        <w:tc>
          <w:tcPr>
            <w:tcW w:w="1170" w:type="dxa"/>
            <w:tcMar/>
          </w:tcPr>
          <w:p w:rsidR="40EE1397" w:rsidP="40EE1397" w:rsidRDefault="40EE1397" w14:paraId="0C2DDC4E" w14:textId="566C8D7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2870F469">
        <w:trPr>
          <w:trHeight w:val="300"/>
        </w:trPr>
        <w:tc>
          <w:tcPr>
            <w:tcW w:w="1170" w:type="dxa"/>
            <w:tcMar/>
          </w:tcPr>
          <w:p w:rsidR="40EE1397" w:rsidP="40EE1397" w:rsidRDefault="40EE1397" w14:paraId="5521EAA2" w14:textId="286D0A8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CHEMBL1170</w:t>
            </w:r>
          </w:p>
        </w:tc>
        <w:tc>
          <w:tcPr>
            <w:tcW w:w="1170" w:type="dxa"/>
            <w:tcMar/>
          </w:tcPr>
          <w:p w:rsidR="40EE1397" w:rsidP="40EE1397" w:rsidRDefault="40EE1397" w14:paraId="3222CB61" w14:textId="4F55022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3.297</w:t>
            </w:r>
          </w:p>
        </w:tc>
        <w:tc>
          <w:tcPr>
            <w:tcW w:w="1170" w:type="dxa"/>
            <w:tcMar/>
          </w:tcPr>
          <w:p w:rsidR="40EE1397" w:rsidP="40EE1397" w:rsidRDefault="40EE1397" w14:paraId="5A94820D" w14:textId="1E45171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3.520</w:t>
            </w:r>
          </w:p>
        </w:tc>
        <w:tc>
          <w:tcPr>
            <w:tcW w:w="1170" w:type="dxa"/>
            <w:tcMar/>
          </w:tcPr>
          <w:p w:rsidR="40EE1397" w:rsidP="40EE1397" w:rsidRDefault="40EE1397" w14:paraId="317DFFCC" w14:textId="08EF746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3.566</w:t>
            </w:r>
          </w:p>
        </w:tc>
        <w:tc>
          <w:tcPr>
            <w:tcW w:w="1170" w:type="dxa"/>
            <w:tcMar/>
          </w:tcPr>
          <w:p w:rsidR="40EE1397" w:rsidP="40EE1397" w:rsidRDefault="40EE1397" w14:paraId="7E2EEB99" w14:textId="47A61EF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3.746</w:t>
            </w:r>
          </w:p>
        </w:tc>
        <w:tc>
          <w:tcPr>
            <w:tcW w:w="1170" w:type="dxa"/>
            <w:tcMar/>
          </w:tcPr>
          <w:p w:rsidR="40EE1397" w:rsidP="40EE1397" w:rsidRDefault="40EE1397" w14:paraId="08EF8A14" w14:textId="185E4B2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3.729</w:t>
            </w:r>
          </w:p>
        </w:tc>
        <w:tc>
          <w:tcPr>
            <w:tcW w:w="1170" w:type="dxa"/>
            <w:tcMar/>
          </w:tcPr>
          <w:p w:rsidR="40EE1397" w:rsidP="40EE1397" w:rsidRDefault="40EE1397" w14:paraId="0B7DDBCA" w14:textId="6FC0AC8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3.353</w:t>
            </w:r>
          </w:p>
        </w:tc>
        <w:tc>
          <w:tcPr>
            <w:tcW w:w="1170" w:type="dxa"/>
            <w:tcMar/>
          </w:tcPr>
          <w:p w:rsidR="40EE1397" w:rsidP="40EE1397" w:rsidRDefault="40EE1397" w14:paraId="38609C25" w14:textId="31F254F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47AD42DA">
        <w:trPr>
          <w:trHeight w:val="300"/>
        </w:trPr>
        <w:tc>
          <w:tcPr>
            <w:tcW w:w="1170" w:type="dxa"/>
            <w:tcMar/>
          </w:tcPr>
          <w:p w:rsidR="40EE1397" w:rsidP="40EE1397" w:rsidRDefault="40EE1397" w14:paraId="2C68AE08" w14:textId="6FF2DF0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CHEMBL1200374</w:t>
            </w:r>
          </w:p>
        </w:tc>
        <w:tc>
          <w:tcPr>
            <w:tcW w:w="1170" w:type="dxa"/>
            <w:tcMar/>
          </w:tcPr>
          <w:p w:rsidR="40EE1397" w:rsidP="40EE1397" w:rsidRDefault="40EE1397" w14:paraId="57C07AE6" w14:textId="159E72A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3.454</w:t>
            </w:r>
          </w:p>
        </w:tc>
        <w:tc>
          <w:tcPr>
            <w:tcW w:w="1170" w:type="dxa"/>
            <w:tcMar/>
          </w:tcPr>
          <w:p w:rsidR="40EE1397" w:rsidP="40EE1397" w:rsidRDefault="40EE1397" w14:paraId="77207484" w14:textId="3C1CD56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3.644</w:t>
            </w:r>
          </w:p>
        </w:tc>
        <w:tc>
          <w:tcPr>
            <w:tcW w:w="1170" w:type="dxa"/>
            <w:tcMar/>
          </w:tcPr>
          <w:p w:rsidR="40EE1397" w:rsidP="40EE1397" w:rsidRDefault="40EE1397" w14:paraId="6D468663" w14:textId="35B989B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3.448</w:t>
            </w:r>
          </w:p>
        </w:tc>
        <w:tc>
          <w:tcPr>
            <w:tcW w:w="1170" w:type="dxa"/>
            <w:tcMar/>
          </w:tcPr>
          <w:p w:rsidR="40EE1397" w:rsidP="40EE1397" w:rsidRDefault="40EE1397" w14:paraId="66124F36" w14:textId="26941D3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3.331</w:t>
            </w:r>
          </w:p>
        </w:tc>
        <w:tc>
          <w:tcPr>
            <w:tcW w:w="1170" w:type="dxa"/>
            <w:tcMar/>
          </w:tcPr>
          <w:p w:rsidR="40EE1397" w:rsidP="40EE1397" w:rsidRDefault="40EE1397" w14:paraId="5F3765CA" w14:textId="2F8F505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3.562</w:t>
            </w:r>
          </w:p>
        </w:tc>
        <w:tc>
          <w:tcPr>
            <w:tcW w:w="1170" w:type="dxa"/>
            <w:tcMar/>
          </w:tcPr>
          <w:p w:rsidR="40EE1397" w:rsidP="40EE1397" w:rsidRDefault="40EE1397" w14:paraId="2F52EF76" w14:textId="41AFA26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3.415</w:t>
            </w:r>
          </w:p>
        </w:tc>
        <w:tc>
          <w:tcPr>
            <w:tcW w:w="1170" w:type="dxa"/>
            <w:tcMar/>
          </w:tcPr>
          <w:p w:rsidR="40EE1397" w:rsidP="40EE1397" w:rsidRDefault="40EE1397" w14:paraId="485B7392" w14:textId="2D04B486">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4AF6102F">
        <w:trPr>
          <w:trHeight w:val="300"/>
        </w:trPr>
        <w:tc>
          <w:tcPr>
            <w:tcW w:w="1170" w:type="dxa"/>
            <w:tcMar/>
          </w:tcPr>
          <w:p w:rsidR="40EE1397" w:rsidP="40EE1397" w:rsidRDefault="40EE1397" w14:paraId="43AAE2E2" w14:textId="36F3FE7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CHEMBL2107826</w:t>
            </w:r>
          </w:p>
        </w:tc>
        <w:tc>
          <w:tcPr>
            <w:tcW w:w="1170" w:type="dxa"/>
            <w:tcMar/>
          </w:tcPr>
          <w:p w:rsidR="40EE1397" w:rsidP="40EE1397" w:rsidRDefault="40EE1397" w14:paraId="187AC750" w14:textId="7689DF6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3.457</w:t>
            </w:r>
          </w:p>
        </w:tc>
        <w:tc>
          <w:tcPr>
            <w:tcW w:w="1170" w:type="dxa"/>
            <w:tcMar/>
          </w:tcPr>
          <w:p w:rsidR="40EE1397" w:rsidP="40EE1397" w:rsidRDefault="40EE1397" w14:paraId="50589551" w14:textId="0717D8B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3.441</w:t>
            </w:r>
          </w:p>
        </w:tc>
        <w:tc>
          <w:tcPr>
            <w:tcW w:w="1170" w:type="dxa"/>
            <w:tcMar/>
          </w:tcPr>
          <w:p w:rsidR="40EE1397" w:rsidP="40EE1397" w:rsidRDefault="40EE1397" w14:paraId="0BFFC181" w14:textId="26D79FE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3.563</w:t>
            </w:r>
          </w:p>
        </w:tc>
        <w:tc>
          <w:tcPr>
            <w:tcW w:w="1170" w:type="dxa"/>
            <w:tcMar/>
          </w:tcPr>
          <w:p w:rsidR="40EE1397" w:rsidP="40EE1397" w:rsidRDefault="40EE1397" w14:paraId="64E8F61E" w14:textId="6A8D6D3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3.571</w:t>
            </w:r>
          </w:p>
        </w:tc>
        <w:tc>
          <w:tcPr>
            <w:tcW w:w="1170" w:type="dxa"/>
            <w:tcMar/>
          </w:tcPr>
          <w:p w:rsidR="40EE1397" w:rsidP="40EE1397" w:rsidRDefault="40EE1397" w14:paraId="4FDA5C35" w14:textId="05591C7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3.482</w:t>
            </w:r>
          </w:p>
        </w:tc>
        <w:tc>
          <w:tcPr>
            <w:tcW w:w="1170" w:type="dxa"/>
            <w:tcMar/>
          </w:tcPr>
          <w:p w:rsidR="40EE1397" w:rsidP="40EE1397" w:rsidRDefault="40EE1397" w14:paraId="5D5534AA" w14:textId="5CCD276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3.636</w:t>
            </w:r>
          </w:p>
        </w:tc>
        <w:tc>
          <w:tcPr>
            <w:tcW w:w="1170" w:type="dxa"/>
            <w:tcMar/>
          </w:tcPr>
          <w:p w:rsidR="40EE1397" w:rsidP="40EE1397" w:rsidRDefault="40EE1397" w14:paraId="2B971874" w14:textId="4138988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6034EBE8">
        <w:trPr>
          <w:trHeight w:val="300"/>
        </w:trPr>
        <w:tc>
          <w:tcPr>
            <w:tcW w:w="1170" w:type="dxa"/>
            <w:tcMar/>
          </w:tcPr>
          <w:p w:rsidR="40EE1397" w:rsidP="40EE1397" w:rsidRDefault="40EE1397" w14:paraId="71DC7A1B" w14:textId="24D6F1F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CHEMBL1336</w:t>
            </w:r>
          </w:p>
        </w:tc>
        <w:tc>
          <w:tcPr>
            <w:tcW w:w="1170" w:type="dxa"/>
            <w:tcMar/>
          </w:tcPr>
          <w:p w:rsidR="40EE1397" w:rsidP="40EE1397" w:rsidRDefault="40EE1397" w14:paraId="1613BBA4" w14:textId="2C5A495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3.332</w:t>
            </w:r>
          </w:p>
        </w:tc>
        <w:tc>
          <w:tcPr>
            <w:tcW w:w="1170" w:type="dxa"/>
            <w:tcMar/>
          </w:tcPr>
          <w:p w:rsidR="40EE1397" w:rsidP="40EE1397" w:rsidRDefault="40EE1397" w14:paraId="4718E2F8" w14:textId="68073C2E">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3.327</w:t>
            </w:r>
          </w:p>
        </w:tc>
        <w:tc>
          <w:tcPr>
            <w:tcW w:w="1170" w:type="dxa"/>
            <w:tcMar/>
          </w:tcPr>
          <w:p w:rsidR="40EE1397" w:rsidP="40EE1397" w:rsidRDefault="40EE1397" w14:paraId="790D509A" w14:textId="2445EC8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3.553</w:t>
            </w:r>
          </w:p>
        </w:tc>
        <w:tc>
          <w:tcPr>
            <w:tcW w:w="1170" w:type="dxa"/>
            <w:tcMar/>
          </w:tcPr>
          <w:p w:rsidR="40EE1397" w:rsidP="40EE1397" w:rsidRDefault="40EE1397" w14:paraId="2523348C" w14:textId="137F545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3.734</w:t>
            </w:r>
          </w:p>
        </w:tc>
        <w:tc>
          <w:tcPr>
            <w:tcW w:w="1170" w:type="dxa"/>
            <w:tcMar/>
          </w:tcPr>
          <w:p w:rsidR="40EE1397" w:rsidP="40EE1397" w:rsidRDefault="40EE1397" w14:paraId="1DD066AE" w14:textId="3337FBB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3.301</w:t>
            </w:r>
          </w:p>
        </w:tc>
        <w:tc>
          <w:tcPr>
            <w:tcW w:w="1170" w:type="dxa"/>
            <w:tcMar/>
          </w:tcPr>
          <w:p w:rsidR="40EE1397" w:rsidP="40EE1397" w:rsidRDefault="40EE1397" w14:paraId="67CB4FB9" w14:textId="0983043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3.231</w:t>
            </w:r>
          </w:p>
        </w:tc>
        <w:tc>
          <w:tcPr>
            <w:tcW w:w="1170" w:type="dxa"/>
            <w:tcMar/>
          </w:tcPr>
          <w:p w:rsidR="40EE1397" w:rsidP="40EE1397" w:rsidRDefault="40EE1397" w14:paraId="6FC961E7" w14:textId="0660AE8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bl>
    <w:p w:rsidR="04A5FC70" w:rsidP="40EE1397" w:rsidRDefault="04A5FC70" w14:paraId="2600199F" w14:textId="696D702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lang w:val="en-US"/>
        </w:rPr>
      </w:pPr>
    </w:p>
    <w:p w:rsidR="04A5FC70" w:rsidP="40EE1397" w:rsidRDefault="04A5FC70" w14:paraId="171924CF" w14:textId="27805DB9">
      <w:pPr>
        <w:bidi w:val="0"/>
        <w:spacing w:before="240" w:beforeAutospacing="off" w:after="240" w:afterAutospacing="off"/>
        <w:ind w:left="0"/>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consistent 6/6 contact pattern indicates that all five prioritized ligands occupied the predefined DBP core region. Close contacts involving PHE178, TYR327, PHE573, PHE610, and PHE628 were identified as aromatic-contact candidates based on their geometric proximity. These observations indicate proximity to the aromatic-rich pocket but do not by themselves establish specific π–π interactions.</w:t>
      </w:r>
    </w:p>
    <w:p w:rsidR="04A5FC70" w:rsidP="40EE1397" w:rsidRDefault="04A5FC70" w14:paraId="6618B2FF" w14:textId="12596FB8">
      <w:pPr>
        <w:bidi w:val="0"/>
        <w:rPr>
          <w:rFonts w:ascii="Times New Roman" w:hAnsi="Times New Roman" w:eastAsia="Times New Roman" w:cs="Times New Roman" w:asciiTheme="minorAscii" w:hAnsiTheme="minorAscii" w:eastAsiaTheme="minorAscii" w:cstheme="minorAscii"/>
        </w:rPr>
      </w:pPr>
    </w:p>
    <w:p w:rsidR="04A5FC70" w:rsidP="40EE1397" w:rsidRDefault="04A5FC70" w14:paraId="359D2BD7" w14:textId="203A3B51">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11ED7577">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4</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.5 Three-dimensional visualization of the </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MexB</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Deep Binding Pocket</w:t>
      </w:r>
    </w:p>
    <w:p w:rsidR="04A5FC70" w:rsidP="40EE1397" w:rsidRDefault="04A5FC70" w14:paraId="3FF3AB7C" w14:textId="5DE786F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A three-dimensional structural representation was generated to visualize the location of the representative top-ranked ligand CHEMBL254328 within the MexB Binding-state DBP.</w:t>
      </w:r>
    </w:p>
    <w:p w:rsidR="04A5FC70" w:rsidP="40EE1397" w:rsidRDefault="04A5FC70" w14:paraId="391A187C" w14:textId="2343B055">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The overall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MexB</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trimer is shown with the Access, Binding, and Extrusion protomers represented separately, while the Binding-state protomer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containing</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the docking site is highlighted. A magnified view of the DBP demonstrates that CHEMBL254328 is positioned within the predicted internal binding cavity and is surrounded by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six</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predefined core residues</w:t>
      </w:r>
      <w:r w:rsidRPr="40EE1397" w:rsidR="207566FB">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207566FB">
        <w:rPr>
          <w:rFonts w:ascii="Times New Roman" w:hAnsi="Times New Roman" w:eastAsia="Times New Roman" w:cs="Times New Roman" w:asciiTheme="minorAscii" w:hAnsiTheme="minorAscii" w:eastAsiaTheme="minorAscii" w:cstheme="minorAscii"/>
          <w:noProof w:val="0"/>
          <w:sz w:val="24"/>
          <w:szCs w:val="24"/>
          <w:lang w:val="en-US"/>
        </w:rPr>
        <w:t>Pettersen et al., 2021).</w:t>
      </w:r>
    </w:p>
    <w:p w:rsidR="04A5FC70" w:rsidP="40EE1397" w:rsidRDefault="04A5FC70" w14:paraId="163D61E8" w14:textId="4D557AE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The minimum distances between CHEMBL254328 and the six core residues were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approximately 3.15</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–3.73 Å, consistent with the quantitative contact analysis. The visualization therefore provides structural confirmation that the selected ligand occupies the intended DBP region.</w:t>
      </w:r>
    </w:p>
    <w:p w:rsidR="04A5FC70" w:rsidP="40EE1397" w:rsidRDefault="04A5FC70" w14:paraId="656D4C98" w14:textId="7C92C559">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3361B8"/>
          <w:sz w:val="24"/>
          <w:szCs w:val="24"/>
          <w:u w:val="single"/>
          <w:lang w:val="en-US"/>
        </w:rPr>
      </w:pPr>
      <w:r w:rsidRPr="40EE1397" w:rsidR="12445929">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Figure 4. Three-dimensional visualization of the </w:t>
      </w:r>
      <w:r w:rsidRPr="40EE1397" w:rsidR="12445929">
        <w:rPr>
          <w:rFonts w:ascii="Times New Roman" w:hAnsi="Times New Roman" w:eastAsia="Times New Roman" w:cs="Times New Roman" w:asciiTheme="minorAscii" w:hAnsiTheme="minorAscii" w:eastAsiaTheme="minorAscii" w:cstheme="minorAscii"/>
          <w:b w:val="1"/>
          <w:bCs w:val="1"/>
          <w:noProof w:val="0"/>
          <w:sz w:val="28"/>
          <w:szCs w:val="28"/>
          <w:lang w:val="en-US"/>
        </w:rPr>
        <w:t>MexB</w:t>
      </w:r>
      <w:r w:rsidRPr="40EE1397" w:rsidR="12445929">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Deep Binding Pocket</w:t>
      </w:r>
      <w:r w:rsidRPr="40EE1397" w:rsidR="7A11899D">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(Eric et al., 2020).</w:t>
      </w:r>
    </w:p>
    <w:p w:rsidR="04A5FC70" w:rsidP="40EE1397" w:rsidRDefault="04A5FC70" w14:paraId="4D3DF9CE" w14:textId="42C511DF">
      <w:pPr>
        <w:pStyle w:val="Normal"/>
        <w:bidi w:val="0"/>
        <w:rPr>
          <w:rFonts w:ascii="Times New Roman" w:hAnsi="Times New Roman" w:eastAsia="Times New Roman" w:cs="Times New Roman" w:asciiTheme="minorAscii" w:hAnsiTheme="minorAscii" w:eastAsiaTheme="minorAscii" w:cstheme="minorAscii"/>
        </w:rPr>
      </w:pPr>
      <w:r w:rsidR="2D1C7F2C">
        <w:drawing>
          <wp:inline wp14:editId="41F4F194" wp14:anchorId="2CF8BCCB">
            <wp:extent cx="5943600" cy="4114800"/>
            <wp:effectExtent l="0" t="0" r="0" b="0"/>
            <wp:docPr id="1750785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785491" name="Picture 1750785491"/>
                    <pic:cNvPicPr/>
                  </pic:nvPicPr>
                  <pic:blipFill>
                    <a:blip xmlns:r="http://schemas.openxmlformats.org/officeDocument/2006/relationships" r:embed="rId1557132478">
                      <a:extLst>
                        <a:ext uri="{28A0092B-C50C-407E-A947-70E740481C1C}">
                          <a14:useLocalDpi xmlns:a14="http://schemas.microsoft.com/office/drawing/2010/main"/>
                        </a:ext>
                      </a:extLst>
                    </a:blip>
                    <a:stretch>
                      <a:fillRect/>
                    </a:stretch>
                  </pic:blipFill>
                  <pic:spPr>
                    <a:xfrm rot="0">
                      <a:off x="0" y="0"/>
                      <a:ext cx="5943600" cy="4114800"/>
                    </a:xfrm>
                    <a:prstGeom prst="rect">
                      <a:avLst/>
                    </a:prstGeom>
                  </pic:spPr>
                </pic:pic>
              </a:graphicData>
            </a:graphic>
          </wp:inline>
        </w:drawing>
      </w:r>
    </w:p>
    <w:p w:rsidR="04A5FC70" w:rsidP="40EE1397" w:rsidRDefault="04A5FC70" w14:paraId="51A01102" w14:textId="68794FCB">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3361B8"/>
          <w:sz w:val="24"/>
          <w:szCs w:val="24"/>
          <w:u w:val="single"/>
          <w:lang w:val="en-US"/>
        </w:rPr>
      </w:pPr>
      <w:r w:rsidRPr="40EE1397" w:rsidR="12445929">
        <w:rPr>
          <w:rFonts w:ascii="Times New Roman" w:hAnsi="Times New Roman" w:eastAsia="Times New Roman" w:cs="Times New Roman" w:asciiTheme="minorAscii" w:hAnsiTheme="minorAscii" w:eastAsiaTheme="minorAscii" w:cstheme="minorAscii"/>
          <w:b w:val="1"/>
          <w:bCs w:val="1"/>
          <w:noProof w:val="0"/>
          <w:sz w:val="24"/>
          <w:szCs w:val="24"/>
          <w:lang w:val="en-US"/>
        </w:rPr>
        <w:t>Figure 4.</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Three-dimensional representation of the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MexB</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Binding-state Deep Binding Pocket (DBP)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containing</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representative top-ranked ligand CHEMBL254328. The overall view shows the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MexB</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homotrimer with the Binding-state protomer highlighted. The magnified DBP view shows CHEMBL254328 positioned within the pocket and surrounded by the six core residues: VAL139, PHE178, TYR327, PHE573, PHE610, and PHE628. Dashed lines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indicate</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the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minimum</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ligand–residue distances in Å</w:t>
      </w:r>
      <w:r w:rsidRPr="40EE1397" w:rsidR="390D3273">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390D3273">
        <w:rPr>
          <w:rFonts w:ascii="Times New Roman" w:hAnsi="Times New Roman" w:eastAsia="Times New Roman" w:cs="Times New Roman" w:asciiTheme="minorAscii" w:hAnsiTheme="minorAscii" w:eastAsiaTheme="minorAscii" w:cstheme="minorAscii"/>
          <w:b w:val="0"/>
          <w:bCs w:val="0"/>
          <w:noProof w:val="0"/>
          <w:sz w:val="28"/>
          <w:szCs w:val="28"/>
          <w:lang w:val="en-US"/>
        </w:rPr>
        <w:t>(Eric et al., 2020).</w:t>
      </w:r>
    </w:p>
    <w:p w:rsidR="04A5FC70" w:rsidP="40EE1397" w:rsidRDefault="04A5FC70" w14:paraId="629DB8B4" w14:textId="39075E0F">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3D visualization complements the distance-based analysis and demonstrates that the representative ligand is located within the predicted DBP rather than outside the selected binding region.</w:t>
      </w:r>
    </w:p>
    <w:p w:rsidR="04A5FC70" w:rsidP="40EE1397" w:rsidRDefault="04A5FC70" w14:paraId="3CF6610B" w14:textId="66960F09">
      <w:pPr>
        <w:pStyle w:val="Heading2"/>
        <w:bidi w:val="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0567516A">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4</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.6 Validation using experimentally characterized reference ligands</w:t>
      </w:r>
    </w:p>
    <w:p w:rsidR="04A5FC70" w:rsidP="40EE1397" w:rsidRDefault="04A5FC70" w14:paraId="4F5079F9" w14:textId="7CBEFA9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To evaluate the structural relevance of the selected DBP, four experimentally characterized reference ligands were docked using the same receptor structure and docking parameters.</w:t>
      </w:r>
    </w:p>
    <w:p w:rsidR="04A5FC70" w:rsidP="40EE1397" w:rsidRDefault="04A5FC70" w14:paraId="6C4C82D8" w14:textId="2B537C03">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The reference compounds produced Vina scores ranging from −9.355 to −10.72 kcal/mol. Core-residue analysis showed that three of the four reference ligands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established</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contacts with five or six of the six predefined DBP residues, while CHEMBL191703 established contacts with four of six residues</w:t>
      </w:r>
      <w:r w:rsidRPr="40EE1397" w:rsidR="7725B3FC">
        <w:rPr>
          <w:rFonts w:ascii="Times New Roman" w:hAnsi="Times New Roman" w:eastAsia="Times New Roman" w:cs="Times New Roman" w:asciiTheme="minorAscii" w:hAnsiTheme="minorAscii" w:eastAsiaTheme="minorAscii" w:cstheme="minorAscii"/>
          <w:noProof w:val="0"/>
          <w:sz w:val="24"/>
          <w:szCs w:val="24"/>
          <w:lang w:val="en-US"/>
        </w:rPr>
        <w:t xml:space="preserve"> (Ref-</w:t>
      </w:r>
      <w:r w:rsidRPr="40EE1397" w:rsidR="7725B3FC">
        <w:rPr>
          <w:rFonts w:ascii="Times New Roman" w:hAnsi="Times New Roman" w:eastAsia="Times New Roman" w:cs="Times New Roman" w:asciiTheme="minorAscii" w:hAnsiTheme="minorAscii" w:eastAsiaTheme="minorAscii" w:cstheme="minorAscii"/>
          <w:noProof w:val="0"/>
          <w:sz w:val="24"/>
          <w:szCs w:val="24"/>
          <w:lang w:val="en-US"/>
        </w:rPr>
        <w:t xml:space="preserve"> Vina).</w:t>
      </w:r>
    </w:p>
    <w:p w:rsidR="04A5FC70" w:rsidP="40EE1397" w:rsidRDefault="04A5FC70" w14:paraId="646609AE" w14:textId="7D6B109C">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Table 5. Docking and structural validation of reference ligands</w:t>
      </w:r>
    </w:p>
    <w:tbl>
      <w:tblPr>
        <w:tblStyle w:val="TableGrid"/>
        <w:bidiVisual w:val="0"/>
        <w:tblW w:w="0" w:type="auto"/>
        <w:tblLook w:val="06A0" w:firstRow="1" w:lastRow="0" w:firstColumn="1" w:lastColumn="0" w:noHBand="1" w:noVBand="1"/>
      </w:tblPr>
      <w:tblGrid>
        <w:gridCol w:w="2340"/>
        <w:gridCol w:w="2340"/>
        <w:gridCol w:w="2340"/>
        <w:gridCol w:w="2340"/>
      </w:tblGrid>
      <w:tr w:rsidR="40EE1397" w:rsidTr="40EE1397" w14:paraId="2C575717">
        <w:trPr>
          <w:trHeight w:val="300"/>
        </w:trPr>
        <w:tc>
          <w:tcPr>
            <w:tcW w:w="2340" w:type="dxa"/>
            <w:tcMar/>
          </w:tcPr>
          <w:p w:rsidR="40EE1397" w:rsidP="40EE1397" w:rsidRDefault="40EE1397" w14:paraId="50040F79" w14:textId="006FE55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40EE1397" w:rsidR="40EE1397">
              <w:rPr>
                <w:rFonts w:ascii="Times New Roman" w:hAnsi="Times New Roman" w:eastAsia="Times New Roman" w:cs="Times New Roman" w:asciiTheme="minorAscii" w:hAnsiTheme="minorAscii" w:eastAsiaTheme="minorAscii" w:cstheme="minorAscii"/>
                <w:b w:val="1"/>
                <w:bCs w:val="1"/>
                <w:color w:val="auto"/>
              </w:rPr>
              <w:t>Ligand</w:t>
            </w:r>
          </w:p>
        </w:tc>
        <w:tc>
          <w:tcPr>
            <w:tcW w:w="2340" w:type="dxa"/>
            <w:tcMar/>
          </w:tcPr>
          <w:p w:rsidR="40EE1397" w:rsidP="40EE1397" w:rsidRDefault="40EE1397" w14:paraId="3E443F24" w14:textId="08DDB56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40EE1397" w:rsidR="40EE1397">
              <w:rPr>
                <w:rFonts w:ascii="Times New Roman" w:hAnsi="Times New Roman" w:eastAsia="Times New Roman" w:cs="Times New Roman" w:asciiTheme="minorAscii" w:hAnsiTheme="minorAscii" w:eastAsiaTheme="minorAscii" w:cstheme="minorAscii"/>
                <w:b w:val="1"/>
                <w:bCs w:val="1"/>
                <w:color w:val="auto"/>
              </w:rPr>
              <w:t>Experimental activity</w:t>
            </w:r>
          </w:p>
        </w:tc>
        <w:tc>
          <w:tcPr>
            <w:tcW w:w="2340" w:type="dxa"/>
            <w:tcMar/>
          </w:tcPr>
          <w:p w:rsidR="40EE1397" w:rsidP="40EE1397" w:rsidRDefault="40EE1397" w14:paraId="522DF236" w14:textId="3C702C2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40EE1397" w:rsidR="40EE1397">
              <w:rPr>
                <w:rFonts w:ascii="Times New Roman" w:hAnsi="Times New Roman" w:eastAsia="Times New Roman" w:cs="Times New Roman" w:asciiTheme="minorAscii" w:hAnsiTheme="minorAscii" w:eastAsiaTheme="minorAscii" w:cstheme="minorAscii"/>
                <w:b w:val="1"/>
                <w:bCs w:val="1"/>
                <w:color w:val="auto"/>
              </w:rPr>
              <w:t>Vina score (kcal/mol)</w:t>
            </w:r>
          </w:p>
        </w:tc>
        <w:tc>
          <w:tcPr>
            <w:tcW w:w="2340" w:type="dxa"/>
            <w:tcMar/>
          </w:tcPr>
          <w:p w:rsidR="40EE1397" w:rsidP="40EE1397" w:rsidRDefault="40EE1397" w14:paraId="671A84B7" w14:textId="1D63D90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40EE1397" w:rsidR="40EE1397">
              <w:rPr>
                <w:rFonts w:ascii="Times New Roman" w:hAnsi="Times New Roman" w:eastAsia="Times New Roman" w:cs="Times New Roman" w:asciiTheme="minorAscii" w:hAnsiTheme="minorAscii" w:eastAsiaTheme="minorAscii" w:cstheme="minorAscii"/>
                <w:b w:val="1"/>
                <w:bCs w:val="1"/>
                <w:color w:val="auto"/>
              </w:rPr>
              <w:t>Core contacts</w:t>
            </w:r>
          </w:p>
        </w:tc>
      </w:tr>
      <w:tr w:rsidR="40EE1397" w:rsidTr="40EE1397" w14:paraId="0DC43A18">
        <w:trPr>
          <w:trHeight w:val="300"/>
        </w:trPr>
        <w:tc>
          <w:tcPr>
            <w:tcW w:w="2340" w:type="dxa"/>
            <w:tcMar/>
          </w:tcPr>
          <w:p w:rsidR="40EE1397" w:rsidP="40EE1397" w:rsidRDefault="40EE1397" w14:paraId="089B8B4F" w14:textId="0C7A40DA">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CHEMBL191703</w:t>
            </w:r>
          </w:p>
        </w:tc>
        <w:tc>
          <w:tcPr>
            <w:tcW w:w="2340" w:type="dxa"/>
            <w:tcMar/>
          </w:tcPr>
          <w:p w:rsidR="40EE1397" w:rsidP="40EE1397" w:rsidRDefault="40EE1397" w14:paraId="371B47BB" w14:textId="4F41AF3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MIC 8.0 µg/mL</w:t>
            </w:r>
          </w:p>
        </w:tc>
        <w:tc>
          <w:tcPr>
            <w:tcW w:w="2340" w:type="dxa"/>
            <w:tcMar/>
          </w:tcPr>
          <w:p w:rsidR="40EE1397" w:rsidP="40EE1397" w:rsidRDefault="40EE1397" w14:paraId="0663B79C" w14:textId="6FDD7B4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−10.03</w:t>
            </w:r>
          </w:p>
        </w:tc>
        <w:tc>
          <w:tcPr>
            <w:tcW w:w="2340" w:type="dxa"/>
            <w:tcMar/>
          </w:tcPr>
          <w:p w:rsidR="40EE1397" w:rsidP="40EE1397" w:rsidRDefault="40EE1397" w14:paraId="4EF48431" w14:textId="61EF550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4/6</w:t>
            </w:r>
          </w:p>
        </w:tc>
      </w:tr>
      <w:tr w:rsidR="40EE1397" w:rsidTr="40EE1397" w14:paraId="6D3EF649">
        <w:trPr>
          <w:trHeight w:val="300"/>
        </w:trPr>
        <w:tc>
          <w:tcPr>
            <w:tcW w:w="2340" w:type="dxa"/>
            <w:tcMar/>
          </w:tcPr>
          <w:p w:rsidR="40EE1397" w:rsidP="40EE1397" w:rsidRDefault="40EE1397" w14:paraId="53B53E61" w14:textId="12FE5F4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CHEMBL297453</w:t>
            </w:r>
          </w:p>
        </w:tc>
        <w:tc>
          <w:tcPr>
            <w:tcW w:w="2340" w:type="dxa"/>
            <w:tcMar/>
          </w:tcPr>
          <w:p w:rsidR="40EE1397" w:rsidP="40EE1397" w:rsidRDefault="40EE1397" w14:paraId="267A56FE" w14:textId="5B16F87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MIC 12.6992 µg/mL</w:t>
            </w:r>
          </w:p>
        </w:tc>
        <w:tc>
          <w:tcPr>
            <w:tcW w:w="2340" w:type="dxa"/>
            <w:tcMar/>
          </w:tcPr>
          <w:p w:rsidR="40EE1397" w:rsidP="40EE1397" w:rsidRDefault="40EE1397" w14:paraId="467681F1" w14:textId="1561554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−10.72</w:t>
            </w:r>
          </w:p>
        </w:tc>
        <w:tc>
          <w:tcPr>
            <w:tcW w:w="2340" w:type="dxa"/>
            <w:tcMar/>
          </w:tcPr>
          <w:p w:rsidR="40EE1397" w:rsidP="40EE1397" w:rsidRDefault="40EE1397" w14:paraId="7C3CA188" w14:textId="5DD6126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5/6</w:t>
            </w:r>
          </w:p>
        </w:tc>
      </w:tr>
      <w:tr w:rsidR="40EE1397" w:rsidTr="40EE1397" w14:paraId="6B40CA6E">
        <w:trPr>
          <w:trHeight w:val="300"/>
        </w:trPr>
        <w:tc>
          <w:tcPr>
            <w:tcW w:w="2340" w:type="dxa"/>
            <w:tcMar/>
          </w:tcPr>
          <w:p w:rsidR="40EE1397" w:rsidP="40EE1397" w:rsidRDefault="40EE1397" w14:paraId="36C3F57B" w14:textId="3B2BE66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CHEMBL4064721</w:t>
            </w:r>
          </w:p>
        </w:tc>
        <w:tc>
          <w:tcPr>
            <w:tcW w:w="2340" w:type="dxa"/>
            <w:tcMar/>
          </w:tcPr>
          <w:p w:rsidR="40EE1397" w:rsidP="40EE1397" w:rsidRDefault="40EE1397" w14:paraId="2FE7E4CE" w14:textId="533E020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MEC &gt;100 µM</w:t>
            </w:r>
          </w:p>
        </w:tc>
        <w:tc>
          <w:tcPr>
            <w:tcW w:w="2340" w:type="dxa"/>
            <w:tcMar/>
          </w:tcPr>
          <w:p w:rsidR="40EE1397" w:rsidP="40EE1397" w:rsidRDefault="40EE1397" w14:paraId="336A8429" w14:textId="00C8904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−9.355</w:t>
            </w:r>
          </w:p>
        </w:tc>
        <w:tc>
          <w:tcPr>
            <w:tcW w:w="2340" w:type="dxa"/>
            <w:tcMar/>
          </w:tcPr>
          <w:p w:rsidR="40EE1397" w:rsidP="40EE1397" w:rsidRDefault="40EE1397" w14:paraId="73040FCD" w14:textId="2E670BC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17F8F95C">
        <w:trPr>
          <w:trHeight w:val="300"/>
        </w:trPr>
        <w:tc>
          <w:tcPr>
            <w:tcW w:w="2340" w:type="dxa"/>
            <w:tcMar/>
          </w:tcPr>
          <w:p w:rsidR="40EE1397" w:rsidP="40EE1397" w:rsidRDefault="40EE1397" w14:paraId="265A5832" w14:textId="5E5E8BB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CHEMBL5569750</w:t>
            </w:r>
          </w:p>
        </w:tc>
        <w:tc>
          <w:tcPr>
            <w:tcW w:w="2340" w:type="dxa"/>
            <w:tcMar/>
          </w:tcPr>
          <w:p w:rsidR="40EE1397" w:rsidP="40EE1397" w:rsidRDefault="40EE1397" w14:paraId="6238043F" w14:textId="7C3FA00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MEC 18.9404 µM</w:t>
            </w:r>
          </w:p>
        </w:tc>
        <w:tc>
          <w:tcPr>
            <w:tcW w:w="2340" w:type="dxa"/>
            <w:tcMar/>
          </w:tcPr>
          <w:p w:rsidR="40EE1397" w:rsidP="40EE1397" w:rsidRDefault="40EE1397" w14:paraId="34214DC2" w14:textId="059AE38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−9.448</w:t>
            </w:r>
          </w:p>
        </w:tc>
        <w:tc>
          <w:tcPr>
            <w:tcW w:w="2340" w:type="dxa"/>
            <w:tcMar/>
          </w:tcPr>
          <w:p w:rsidR="40EE1397" w:rsidP="40EE1397" w:rsidRDefault="40EE1397" w14:paraId="5C4F2C2E" w14:textId="529BD05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bl>
    <w:p w:rsidR="04A5FC70" w:rsidP="40EE1397" w:rsidRDefault="04A5FC70" w14:paraId="444E3A5C" w14:textId="6BE8E78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observation that three reference ligands reproduced five or six of the predefined core contacts supports the structural relevance of the selected DBP for ligand interaction.</w:t>
      </w:r>
    </w:p>
    <w:p w:rsidR="04A5FC70" w:rsidP="40EE1397" w:rsidRDefault="04A5FC70" w14:paraId="7CBC68C6" w14:textId="70025F5B">
      <w:pPr>
        <w:pStyle w:val="Heading2"/>
        <w:bidi w:val="0"/>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00312DC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4</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.7 Overall comparison of predicted and reference ligands</w:t>
      </w:r>
    </w:p>
    <w:p w:rsidR="04A5FC70" w:rsidP="40EE1397" w:rsidRDefault="04A5FC70" w14:paraId="194D2162" w14:textId="0EBC78D6">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five computationally prioritized ligands demonstrated a consistent 6/6 DBP core-contact pattern. In comparison, the experimentally characterized reference ligands demonstrated 4/6 to 6/6 contacts.</w:t>
      </w:r>
    </w:p>
    <w:p w:rsidR="04A5FC70" w:rsidP="40EE1397" w:rsidRDefault="04A5FC70" w14:paraId="1F8FEBAA" w14:textId="7FAAA87B">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Table 6. Overall comparison of candidate and reference ligand docking</w:t>
      </w:r>
    </w:p>
    <w:tbl>
      <w:tblPr>
        <w:tblStyle w:val="TableGrid"/>
        <w:bidiVisual w:val="0"/>
        <w:tblW w:w="0" w:type="auto"/>
        <w:tblLook w:val="06A0" w:firstRow="1" w:lastRow="0" w:firstColumn="1" w:lastColumn="0" w:noHBand="1" w:noVBand="1"/>
      </w:tblPr>
      <w:tblGrid>
        <w:gridCol w:w="2340"/>
        <w:gridCol w:w="2340"/>
        <w:gridCol w:w="2340"/>
        <w:gridCol w:w="2340"/>
      </w:tblGrid>
      <w:tr w:rsidR="40EE1397" w:rsidTr="40EE1397" w14:paraId="3F6C3C4F">
        <w:trPr>
          <w:trHeight w:val="300"/>
        </w:trPr>
        <w:tc>
          <w:tcPr>
            <w:tcW w:w="2340" w:type="dxa"/>
            <w:tcMar/>
          </w:tcPr>
          <w:p w:rsidR="40EE1397" w:rsidP="40EE1397" w:rsidRDefault="40EE1397" w14:paraId="3DF1B894" w14:textId="4858FFB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40EE1397" w:rsidR="40EE1397">
              <w:rPr>
                <w:rFonts w:ascii="Times New Roman" w:hAnsi="Times New Roman" w:eastAsia="Times New Roman" w:cs="Times New Roman" w:asciiTheme="minorAscii" w:hAnsiTheme="minorAscii" w:eastAsiaTheme="minorAscii" w:cstheme="minorAscii"/>
                <w:b w:val="1"/>
                <w:bCs w:val="1"/>
                <w:color w:val="auto"/>
              </w:rPr>
              <w:t>Ligand group</w:t>
            </w:r>
          </w:p>
        </w:tc>
        <w:tc>
          <w:tcPr>
            <w:tcW w:w="2340" w:type="dxa"/>
            <w:tcMar/>
          </w:tcPr>
          <w:p w:rsidR="40EE1397" w:rsidP="40EE1397" w:rsidRDefault="40EE1397" w14:paraId="574483D6" w14:textId="4383566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40EE1397" w:rsidR="40EE1397">
              <w:rPr>
                <w:rFonts w:ascii="Times New Roman" w:hAnsi="Times New Roman" w:eastAsia="Times New Roman" w:cs="Times New Roman" w:asciiTheme="minorAscii" w:hAnsiTheme="minorAscii" w:eastAsiaTheme="minorAscii" w:cstheme="minorAscii"/>
                <w:b w:val="1"/>
                <w:bCs w:val="1"/>
                <w:color w:val="auto"/>
              </w:rPr>
              <w:t>Number of ligands</w:t>
            </w:r>
          </w:p>
        </w:tc>
        <w:tc>
          <w:tcPr>
            <w:tcW w:w="2340" w:type="dxa"/>
            <w:tcMar/>
          </w:tcPr>
          <w:p w:rsidR="40EE1397" w:rsidP="40EE1397" w:rsidRDefault="40EE1397" w14:paraId="38EC177F" w14:textId="4314DD5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40EE1397" w:rsidR="40EE1397">
              <w:rPr>
                <w:rFonts w:ascii="Times New Roman" w:hAnsi="Times New Roman" w:eastAsia="Times New Roman" w:cs="Times New Roman" w:asciiTheme="minorAscii" w:hAnsiTheme="minorAscii" w:eastAsiaTheme="minorAscii" w:cstheme="minorAscii"/>
                <w:b w:val="1"/>
                <w:bCs w:val="1"/>
                <w:color w:val="auto"/>
              </w:rPr>
              <w:t>Vina score range (kcal/mol)</w:t>
            </w:r>
          </w:p>
        </w:tc>
        <w:tc>
          <w:tcPr>
            <w:tcW w:w="2340" w:type="dxa"/>
            <w:tcMar/>
          </w:tcPr>
          <w:p w:rsidR="40EE1397" w:rsidP="40EE1397" w:rsidRDefault="40EE1397" w14:paraId="01E145BE" w14:textId="185C537E">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color w:val="auto"/>
              </w:rPr>
            </w:pPr>
            <w:r w:rsidRPr="40EE1397" w:rsidR="40EE1397">
              <w:rPr>
                <w:rFonts w:ascii="Times New Roman" w:hAnsi="Times New Roman" w:eastAsia="Times New Roman" w:cs="Times New Roman" w:asciiTheme="minorAscii" w:hAnsiTheme="minorAscii" w:eastAsiaTheme="minorAscii" w:cstheme="minorAscii"/>
                <w:b w:val="1"/>
                <w:bCs w:val="1"/>
                <w:color w:val="auto"/>
              </w:rPr>
              <w:t>Core-contact range</w:t>
            </w:r>
          </w:p>
        </w:tc>
      </w:tr>
      <w:tr w:rsidR="40EE1397" w:rsidTr="40EE1397" w14:paraId="33ED31EE">
        <w:trPr>
          <w:trHeight w:val="300"/>
        </w:trPr>
        <w:tc>
          <w:tcPr>
            <w:tcW w:w="2340" w:type="dxa"/>
            <w:tcMar/>
          </w:tcPr>
          <w:p w:rsidR="40EE1397" w:rsidP="40EE1397" w:rsidRDefault="40EE1397" w14:paraId="5CFB8589" w14:textId="3DE0991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Top predicted ligands</w:t>
            </w:r>
          </w:p>
        </w:tc>
        <w:tc>
          <w:tcPr>
            <w:tcW w:w="2340" w:type="dxa"/>
            <w:tcMar/>
          </w:tcPr>
          <w:p w:rsidR="40EE1397" w:rsidP="40EE1397" w:rsidRDefault="40EE1397" w14:paraId="5D5E6EC3" w14:textId="52A6CC1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5</w:t>
            </w:r>
          </w:p>
        </w:tc>
        <w:tc>
          <w:tcPr>
            <w:tcW w:w="2340" w:type="dxa"/>
            <w:tcMar/>
          </w:tcPr>
          <w:p w:rsidR="40EE1397" w:rsidP="40EE1397" w:rsidRDefault="40EE1397" w14:paraId="45F7AF5F" w14:textId="7818671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−10.44 to −12.90</w:t>
            </w:r>
          </w:p>
        </w:tc>
        <w:tc>
          <w:tcPr>
            <w:tcW w:w="2340" w:type="dxa"/>
            <w:tcMar/>
          </w:tcPr>
          <w:p w:rsidR="40EE1397" w:rsidP="40EE1397" w:rsidRDefault="40EE1397" w14:paraId="770356A7" w14:textId="69E4F18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5D0A227B">
        <w:trPr>
          <w:trHeight w:val="300"/>
        </w:trPr>
        <w:tc>
          <w:tcPr>
            <w:tcW w:w="2340" w:type="dxa"/>
            <w:tcMar/>
          </w:tcPr>
          <w:p w:rsidR="40EE1397" w:rsidP="40EE1397" w:rsidRDefault="40EE1397" w14:paraId="67CFE709" w14:textId="3DC2979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Experimental references</w:t>
            </w:r>
          </w:p>
        </w:tc>
        <w:tc>
          <w:tcPr>
            <w:tcW w:w="2340" w:type="dxa"/>
            <w:tcMar/>
          </w:tcPr>
          <w:p w:rsidR="40EE1397" w:rsidP="40EE1397" w:rsidRDefault="40EE1397" w14:paraId="14DCCF43" w14:textId="1E32AE1D">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4</w:t>
            </w:r>
          </w:p>
        </w:tc>
        <w:tc>
          <w:tcPr>
            <w:tcW w:w="2340" w:type="dxa"/>
            <w:tcMar/>
          </w:tcPr>
          <w:p w:rsidR="40EE1397" w:rsidP="40EE1397" w:rsidRDefault="40EE1397" w14:paraId="7B62AC9C" w14:textId="1049260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−9.355 to −10.72</w:t>
            </w:r>
          </w:p>
        </w:tc>
        <w:tc>
          <w:tcPr>
            <w:tcW w:w="2340" w:type="dxa"/>
            <w:tcMar/>
          </w:tcPr>
          <w:p w:rsidR="40EE1397" w:rsidP="40EE1397" w:rsidRDefault="40EE1397" w14:paraId="0303515A" w14:textId="7EA532D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4/6 to 6/6</w:t>
            </w:r>
          </w:p>
        </w:tc>
      </w:tr>
    </w:tbl>
    <w:p w:rsidR="04A5FC70" w:rsidP="40EE1397" w:rsidRDefault="04A5FC70" w14:paraId="5765A0E0" w14:textId="3682F58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lang w:val="en-US"/>
        </w:rPr>
      </w:pPr>
    </w:p>
    <w:p w:rsidR="04A5FC70" w:rsidP="40EE1397" w:rsidRDefault="04A5FC70" w14:paraId="630DE30D" w14:textId="5AC17536">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The results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indicate</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that the computationally prioritized ligands consistently occupy the same predefined DBP core region used for validation. The reference-ligand analysis further supports the structural relevance of this pocket</w:t>
      </w:r>
      <w:r w:rsidRPr="40EE1397" w:rsidR="2C2CD9BA">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2C2CD9BA">
        <w:rPr>
          <w:rFonts w:ascii="Times New Roman" w:hAnsi="Times New Roman" w:eastAsia="Times New Roman" w:cs="Times New Roman" w:asciiTheme="minorAscii" w:hAnsiTheme="minorAscii" w:eastAsiaTheme="minorAscii" w:cstheme="minorAscii"/>
          <w:noProof w:val="0"/>
          <w:sz w:val="24"/>
          <w:szCs w:val="24"/>
          <w:lang w:val="en-US"/>
        </w:rPr>
        <w:t>(Ref- Vina).</w:t>
      </w:r>
    </w:p>
    <w:p w:rsidR="04A5FC70" w:rsidP="40EE1397" w:rsidRDefault="04A5FC70" w14:paraId="4DE227D7" w14:textId="6732341D">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Experimental activity measurements were retained as validation information but were not directly compared numerically with Vina scores because the reference compounds were characterized using different experimental endpoints, including MIC and MEC, and these measurements cannot be directly equated with docking energies.</w:t>
      </w:r>
    </w:p>
    <w:p w:rsidR="04A5FC70" w:rsidP="40EE1397" w:rsidRDefault="04A5FC70" w14:paraId="48E1FD7E" w14:textId="67BA40D1">
      <w:pPr>
        <w:pStyle w:val="Heading2"/>
        <w:bidi w:val="0"/>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47421A62">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4</w:t>
      </w:r>
      <w:r w:rsidRPr="40EE1397" w:rsidR="1244592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.8 Summary of major findings</w:t>
      </w:r>
    </w:p>
    <w:p w:rsidR="04A5FC70" w:rsidP="40EE1397" w:rsidRDefault="04A5FC70" w14:paraId="167F4114" w14:textId="4F1A274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structural analysis of MexB revealed measurable conformational differences between the Access, Binding, and Extrusion states, particularly within the porter domain, while the TMD regions remained comparatively conserved.</w:t>
      </w:r>
    </w:p>
    <w:p w:rsidR="04A5FC70" w:rsidP="40EE1397" w:rsidRDefault="04A5FC70" w14:paraId="74E38C33" w14:textId="741568BD">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P2Rank analysis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identified</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 xml:space="preserve"> a ligand-binding region in the Binding-state structure, which was selected as the Deep Binding Pocket. Six residues</w:t>
      </w:r>
      <w:r w:rsidRPr="40EE1397" w:rsidR="49CBF089">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VAL139, PHE178, TYR327, PHE573, PHE610, and PHE628</w:t>
      </w:r>
      <w:r w:rsidRPr="40EE1397" w:rsidR="620BE3F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were defined as the core DBP residues.</w:t>
      </w:r>
    </w:p>
    <w:p w:rsidR="04A5FC70" w:rsidP="40EE1397" w:rsidRDefault="04A5FC70" w14:paraId="4A84CCA5" w14:textId="60E96DE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Docking of 30 candidate compounds resulted in five computationally prioritized ligands with predicted Vina scores ranging from −10.44 to −12.90 kcal/mol. Importantly, all five compounds demonstrated contacts with all six DBP core residues within 4 Å.</w:t>
      </w:r>
    </w:p>
    <w:p w:rsidR="04A5FC70" w:rsidP="40EE1397" w:rsidRDefault="04A5FC70" w14:paraId="1952231D" w14:textId="6AE22046">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representative top-ranked compound, CHEMBL254328, showed a Vina score of −12.90 kcal/mol and established close contacts with all six core residues. Three-dimensional visualization confirmed its localization within the predicted DBP.</w:t>
      </w:r>
    </w:p>
    <w:p w:rsidR="04A5FC70" w:rsidP="40EE1397" w:rsidRDefault="04A5FC70" w14:paraId="47E86E4A" w14:textId="6ADF21A1">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Docking of four experimentally characterized reference ligands resulted in 4/6 to 6/6 core-residue contacts, with three of four reference ligands showing at least five core contacts. Collectively, these findings support the use of the selected Binding-state DBP as a structurally relevant site for computational ligand screening.</w:t>
      </w:r>
    </w:p>
    <w:p w:rsidR="04A5FC70" w:rsidP="40EE1397" w:rsidRDefault="04A5FC70" w14:paraId="37036ED8" w14:textId="5197790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12445929">
        <w:rPr>
          <w:rFonts w:ascii="Times New Roman" w:hAnsi="Times New Roman" w:eastAsia="Times New Roman" w:cs="Times New Roman" w:asciiTheme="minorAscii" w:hAnsiTheme="minorAscii" w:eastAsiaTheme="minorAscii" w:cstheme="minorAscii"/>
          <w:noProof w:val="0"/>
          <w:sz w:val="24"/>
          <w:szCs w:val="24"/>
          <w:lang w:val="en-US"/>
        </w:rPr>
        <w:t>The identified compounds should be regarded as computationally prioritized DBP-binding candidates. Their predicted docking scores and structural contacts do not constitute experimental evidence of MexB inhibition, and further experimental or molecular-dynamics-based validation would be required.</w:t>
      </w:r>
    </w:p>
    <w:p w:rsidR="04A5FC70" w:rsidP="40EE1397" w:rsidRDefault="04A5FC70" w14:paraId="391F5D41" w14:textId="390031A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04A5FC70" w:rsidP="40EE1397" w:rsidRDefault="04A5FC70" w14:paraId="7886C617" w14:textId="5B56AB6F">
      <w:pPr>
        <w:pStyle w:val="Heading2"/>
        <w:bidi w:val="0"/>
        <w:spacing w:before="240" w:beforeAutospacing="off" w:after="240" w:afterAutospacing="off"/>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r w:rsidRPr="40EE1397" w:rsidR="728B2566">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5. Discussion</w:t>
      </w:r>
    </w:p>
    <w:p w:rsidR="04A5FC70" w:rsidP="40EE1397" w:rsidRDefault="04A5FC70" w14:paraId="70FEAE2B" w14:textId="3207492E">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The present study was designed to characterize the deep binding pocket (DBP) of the </w:t>
      </w:r>
      <w:r w:rsidRPr="40EE1397" w:rsidR="728B2566">
        <w:rPr>
          <w:rFonts w:ascii="Times New Roman" w:hAnsi="Times New Roman" w:eastAsia="Times New Roman" w:cs="Times New Roman" w:asciiTheme="minorAscii" w:hAnsiTheme="minorAscii" w:eastAsiaTheme="minorAscii" w:cstheme="minorAscii"/>
          <w:noProof w:val="0"/>
          <w:lang w:val="en-US"/>
        </w:rPr>
        <w:t>MexB</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multidrug efflux transporter and to </w:t>
      </w:r>
      <w:r w:rsidRPr="40EE1397" w:rsidR="728B2566">
        <w:rPr>
          <w:rFonts w:ascii="Times New Roman" w:hAnsi="Times New Roman" w:eastAsia="Times New Roman" w:cs="Times New Roman" w:asciiTheme="minorAscii" w:hAnsiTheme="minorAscii" w:eastAsiaTheme="minorAscii" w:cstheme="minorAscii"/>
          <w:noProof w:val="0"/>
          <w:lang w:val="en-US"/>
        </w:rPr>
        <w:t>identify</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ligands capable of occupying this region through a structure-based computational workflow</w:t>
      </w:r>
      <w:r w:rsidRPr="40EE1397" w:rsidR="625B3973">
        <w:rPr>
          <w:rFonts w:ascii="Times New Roman" w:hAnsi="Times New Roman" w:eastAsia="Times New Roman" w:cs="Times New Roman" w:asciiTheme="minorAscii" w:hAnsiTheme="minorAscii" w:eastAsiaTheme="minorAscii" w:cstheme="minorAscii"/>
          <w:noProof w:val="0"/>
          <w:lang w:val="en-US"/>
        </w:rPr>
        <w:t xml:space="preserve"> </w:t>
      </w:r>
      <w:r w:rsidRPr="40EE1397" w:rsidR="625B3973">
        <w:rPr>
          <w:rFonts w:ascii="Times New Roman" w:hAnsi="Times New Roman" w:eastAsia="Times New Roman" w:cs="Times New Roman" w:asciiTheme="minorAscii" w:hAnsiTheme="minorAscii" w:eastAsiaTheme="minorAscii" w:cstheme="minorAscii"/>
          <w:noProof w:val="0"/>
          <w:color w:val="auto"/>
          <w:u w:val="none"/>
          <w:lang w:val="en-US"/>
        </w:rPr>
        <w:t>(</w:t>
      </w:r>
      <w:hyperlink r:id="R74129552f4644f97">
        <w:r w:rsidRPr="40EE1397" w:rsidR="625B3973">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Satoshi </w:t>
        </w:r>
      </w:hyperlink>
      <w:r w:rsidRPr="40EE1397" w:rsidR="625B3973">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al.,2006)</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The analysis progressed from structural characterization of </w:t>
      </w:r>
      <w:r w:rsidRPr="40EE1397" w:rsidR="728B2566">
        <w:rPr>
          <w:rFonts w:ascii="Times New Roman" w:hAnsi="Times New Roman" w:eastAsia="Times New Roman" w:cs="Times New Roman" w:asciiTheme="minorAscii" w:hAnsiTheme="minorAscii" w:eastAsiaTheme="minorAscii" w:cstheme="minorAscii"/>
          <w:noProof w:val="0"/>
          <w:lang w:val="en-US"/>
        </w:rPr>
        <w:t>MexB</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to conformational-state comparison, binding-pocket prediction, virtual screening, docking, and interaction-based validation using experimentally characterized reference ligands.</w:t>
      </w:r>
    </w:p>
    <w:p w:rsidR="04A5FC70" w:rsidP="40EE1397" w:rsidRDefault="04A5FC70" w14:paraId="20189367" w14:textId="3BC5BE1A">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728B256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5.1 Structural characterization of the MexB binding pocket</w:t>
      </w:r>
    </w:p>
    <w:p w:rsidR="04A5FC70" w:rsidP="40EE1397" w:rsidRDefault="04A5FC70" w14:paraId="6860E8C8" w14:textId="1A20843E">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The </w:t>
      </w:r>
      <w:r w:rsidRPr="40EE1397" w:rsidR="728B2566">
        <w:rPr>
          <w:rFonts w:ascii="Times New Roman" w:hAnsi="Times New Roman" w:eastAsia="Times New Roman" w:cs="Times New Roman" w:asciiTheme="minorAscii" w:hAnsiTheme="minorAscii" w:eastAsiaTheme="minorAscii" w:cstheme="minorAscii"/>
          <w:noProof w:val="0"/>
          <w:lang w:val="en-US"/>
        </w:rPr>
        <w:t>MexB</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structure used in this study was analyzed as a trimeric RND transporter </w:t>
      </w:r>
      <w:r w:rsidRPr="40EE1397" w:rsidR="728B2566">
        <w:rPr>
          <w:rFonts w:ascii="Times New Roman" w:hAnsi="Times New Roman" w:eastAsia="Times New Roman" w:cs="Times New Roman" w:asciiTheme="minorAscii" w:hAnsiTheme="minorAscii" w:eastAsiaTheme="minorAscii" w:cstheme="minorAscii"/>
          <w:noProof w:val="0"/>
          <w:lang w:val="en-US"/>
        </w:rPr>
        <w:t>containing</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three conformationally distinct protomers corresponding to the Access, Binding, and Extrusion states</w:t>
      </w:r>
      <w:r w:rsidRPr="40EE1397" w:rsidR="0161C923">
        <w:rPr>
          <w:rFonts w:ascii="Times New Roman" w:hAnsi="Times New Roman" w:eastAsia="Times New Roman" w:cs="Times New Roman" w:asciiTheme="minorAscii" w:hAnsiTheme="minorAscii" w:eastAsiaTheme="minorAscii" w:cstheme="minorAscii"/>
          <w:noProof w:val="0"/>
          <w:lang w:val="en-US"/>
        </w:rPr>
        <w:t xml:space="preserve"> </w:t>
      </w:r>
      <w:r w:rsidRPr="40EE1397" w:rsidR="0161C923">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062AAACD">
        <w:rPr>
          <w:rFonts w:ascii="Times New Roman" w:hAnsi="Times New Roman" w:eastAsia="Times New Roman" w:cs="Times New Roman" w:asciiTheme="minorAscii" w:hAnsiTheme="minorAscii" w:eastAsiaTheme="minorAscii" w:cstheme="minorAscii"/>
          <w:noProof w:val="0"/>
          <w:color w:val="auto"/>
          <w:u w:val="none"/>
          <w:lang w:val="en-US"/>
        </w:rPr>
        <w:t>Akihito et al., 2025)</w:t>
      </w:r>
      <w:r w:rsidRPr="40EE1397" w:rsidR="0161C923">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Structural superposition of the transmembrane domains showed that the major conformational differences occur primarily in the porter domain rather than being attributable to </w:t>
      </w:r>
      <w:r w:rsidRPr="40EE1397" w:rsidR="728B2566">
        <w:rPr>
          <w:rFonts w:ascii="Times New Roman" w:hAnsi="Times New Roman" w:eastAsia="Times New Roman" w:cs="Times New Roman" w:asciiTheme="minorAscii" w:hAnsiTheme="minorAscii" w:eastAsiaTheme="minorAscii" w:cstheme="minorAscii"/>
          <w:noProof w:val="0"/>
          <w:lang w:val="en-US"/>
        </w:rPr>
        <w:t>large changes</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in the transmembrane region. This supports the use of the Binding-state protomer for detailed ligand-binding analysis.</w:t>
      </w:r>
    </w:p>
    <w:p w:rsidR="04A5FC70" w:rsidP="40EE1397" w:rsidRDefault="04A5FC70" w14:paraId="15B887AD" w14:textId="1CE9E04C">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The Binding-state porter domain was selected for </w:t>
      </w:r>
      <w:r w:rsidRPr="40EE1397" w:rsidR="728B2566">
        <w:rPr>
          <w:rFonts w:ascii="Times New Roman" w:hAnsi="Times New Roman" w:eastAsia="Times New Roman" w:cs="Times New Roman" w:asciiTheme="minorAscii" w:hAnsiTheme="minorAscii" w:eastAsiaTheme="minorAscii" w:cstheme="minorAscii"/>
          <w:noProof w:val="0"/>
          <w:lang w:val="en-US"/>
        </w:rPr>
        <w:t>subsequent</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DBP characterization because this state </w:t>
      </w:r>
      <w:r w:rsidRPr="40EE1397" w:rsidR="728B2566">
        <w:rPr>
          <w:rFonts w:ascii="Times New Roman" w:hAnsi="Times New Roman" w:eastAsia="Times New Roman" w:cs="Times New Roman" w:asciiTheme="minorAscii" w:hAnsiTheme="minorAscii" w:eastAsiaTheme="minorAscii" w:cstheme="minorAscii"/>
          <w:noProof w:val="0"/>
          <w:lang w:val="en-US"/>
        </w:rPr>
        <w:t>represents</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the conformation associated with ligand recognition and binding within the porter domain. P2Rank analysis </w:t>
      </w:r>
      <w:r w:rsidRPr="40EE1397" w:rsidR="728B2566">
        <w:rPr>
          <w:rFonts w:ascii="Times New Roman" w:hAnsi="Times New Roman" w:eastAsia="Times New Roman" w:cs="Times New Roman" w:asciiTheme="minorAscii" w:hAnsiTheme="minorAscii" w:eastAsiaTheme="minorAscii" w:cstheme="minorAscii"/>
          <w:noProof w:val="0"/>
          <w:lang w:val="en-US"/>
        </w:rPr>
        <w:t>subsequently</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w:t>
      </w:r>
      <w:r w:rsidRPr="40EE1397" w:rsidR="728B2566">
        <w:rPr>
          <w:rFonts w:ascii="Times New Roman" w:hAnsi="Times New Roman" w:eastAsia="Times New Roman" w:cs="Times New Roman" w:asciiTheme="minorAscii" w:hAnsiTheme="minorAscii" w:eastAsiaTheme="minorAscii" w:cstheme="minorAscii"/>
          <w:noProof w:val="0"/>
          <w:lang w:val="en-US"/>
        </w:rPr>
        <w:t>identified</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candidate ligand-binding regions, allowing the distal/deep binding region to be investigated computationally</w:t>
      </w:r>
      <w:r w:rsidRPr="40EE1397" w:rsidR="0953A321">
        <w:rPr>
          <w:rFonts w:ascii="Times New Roman" w:hAnsi="Times New Roman" w:eastAsia="Times New Roman" w:cs="Times New Roman" w:asciiTheme="minorAscii" w:hAnsiTheme="minorAscii" w:eastAsiaTheme="minorAscii" w:cstheme="minorAscii"/>
          <w:noProof w:val="0"/>
          <w:color w:val="auto"/>
          <w:u w:val="none"/>
          <w:lang w:val="en-US"/>
        </w:rPr>
        <w:t xml:space="preserve"> (</w:t>
      </w:r>
      <w:hyperlink r:id="Re57859041cb745a6">
        <w:r w:rsidRPr="40EE1397" w:rsidR="0953A321">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Radoslav </w:t>
        </w:r>
      </w:hyperlink>
      <w:r w:rsidRPr="40EE1397" w:rsidR="0953A321">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w:t>
      </w:r>
      <w:r w:rsidRPr="40EE1397" w:rsidR="0953A321">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2018</w:t>
      </w:r>
      <w:r w:rsidRPr="40EE1397" w:rsidR="0953A321">
        <w:rPr>
          <w:rFonts w:ascii="Times New Roman" w:hAnsi="Times New Roman" w:eastAsia="Times New Roman" w:cs="Times New Roman" w:asciiTheme="minorAscii" w:hAnsiTheme="minorAscii" w:eastAsiaTheme="minorAscii" w:cstheme="minorAscii"/>
          <w:noProof w:val="0"/>
          <w:color w:val="auto"/>
          <w:sz w:val="24"/>
          <w:szCs w:val="24"/>
          <w:u w:val="none"/>
          <w:lang w:val="en-US"/>
        </w:rPr>
        <w:t>).</w:t>
      </w:r>
    </w:p>
    <w:p w:rsidR="04A5FC70" w:rsidP="40EE1397" w:rsidRDefault="04A5FC70" w14:paraId="4DCD7848" w14:textId="38866AFB">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728B256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5.2 Identification of the core DBP residues</w:t>
      </w:r>
    </w:p>
    <w:p w:rsidR="04A5FC70" w:rsidP="40EE1397" w:rsidRDefault="04A5FC70" w14:paraId="7B9A28F1" w14:textId="6FD3767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Detailed structural analysis identified six residues forming the core region used for subsequent ligand-interaction analysis:</w:t>
      </w:r>
    </w:p>
    <w:p w:rsidR="04A5FC70" w:rsidP="40EE1397" w:rsidRDefault="04A5FC70" w14:paraId="330D7AF7" w14:textId="4F34E662">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PHE178 </w:t>
      </w:r>
    </w:p>
    <w:p w:rsidR="04A5FC70" w:rsidP="40EE1397" w:rsidRDefault="04A5FC70" w14:paraId="640FD007" w14:textId="7A66F318">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VAL139 </w:t>
      </w:r>
    </w:p>
    <w:p w:rsidR="04A5FC70" w:rsidP="40EE1397" w:rsidRDefault="04A5FC70" w14:paraId="72B6A606" w14:textId="72083945">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TYR327 </w:t>
      </w:r>
    </w:p>
    <w:p w:rsidR="04A5FC70" w:rsidP="40EE1397" w:rsidRDefault="04A5FC70" w14:paraId="4E976AA3" w14:textId="2F3E1479">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PHE573 </w:t>
      </w:r>
    </w:p>
    <w:p w:rsidR="04A5FC70" w:rsidP="40EE1397" w:rsidRDefault="04A5FC70" w14:paraId="4FF9325E" w14:textId="4D79F642">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PHE610 </w:t>
      </w:r>
    </w:p>
    <w:p w:rsidR="04A5FC70" w:rsidP="40EE1397" w:rsidRDefault="04A5FC70" w14:paraId="46121FAB" w14:textId="70490E71">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PHE628 </w:t>
      </w:r>
    </w:p>
    <w:p w:rsidR="04A5FC70" w:rsidP="40EE1397" w:rsidRDefault="04A5FC70" w14:paraId="4D8C2B70" w14:textId="116AFBA1">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The predominance of phenylalanine residues is consistent with the aromatic character of the </w:t>
      </w:r>
      <w:r w:rsidRPr="40EE1397" w:rsidR="728B2566">
        <w:rPr>
          <w:rFonts w:ascii="Times New Roman" w:hAnsi="Times New Roman" w:eastAsia="Times New Roman" w:cs="Times New Roman" w:asciiTheme="minorAscii" w:hAnsiTheme="minorAscii" w:eastAsiaTheme="minorAscii" w:cstheme="minorAscii"/>
          <w:noProof w:val="0"/>
          <w:lang w:val="en-US"/>
        </w:rPr>
        <w:t>MexB</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distal binding region described in </w:t>
      </w:r>
      <w:r w:rsidRPr="40EE1397" w:rsidR="728B2566">
        <w:rPr>
          <w:rFonts w:ascii="Times New Roman" w:hAnsi="Times New Roman" w:eastAsia="Times New Roman" w:cs="Times New Roman" w:asciiTheme="minorAscii" w:hAnsiTheme="minorAscii" w:eastAsiaTheme="minorAscii" w:cstheme="minorAscii"/>
          <w:noProof w:val="0"/>
          <w:lang w:val="en-US"/>
        </w:rPr>
        <w:t>previous</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structural studies</w:t>
      </w:r>
      <w:r w:rsidRPr="40EE1397" w:rsidR="2E7B22A3">
        <w:rPr>
          <w:rFonts w:ascii="Times New Roman" w:hAnsi="Times New Roman" w:eastAsia="Times New Roman" w:cs="Times New Roman" w:asciiTheme="minorAscii" w:hAnsiTheme="minorAscii" w:eastAsiaTheme="minorAscii" w:cstheme="minorAscii"/>
          <w:noProof w:val="0"/>
          <w:lang w:val="en-US"/>
        </w:rPr>
        <w:t>(</w:t>
      </w:r>
      <w:hyperlink r:id="R8b72effe06094f03">
        <w:r w:rsidRPr="40EE1397" w:rsidR="2E7B22A3">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Ryosuke </w:t>
        </w:r>
      </w:hyperlink>
      <w:r w:rsidRPr="40EE1397" w:rsidR="2E7B22A3">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al.,2013</w:t>
      </w:r>
      <w:r w:rsidRPr="40EE1397" w:rsidR="2E7B22A3">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728B2566">
        <w:rPr>
          <w:rFonts w:ascii="Times New Roman" w:hAnsi="Times New Roman" w:eastAsia="Times New Roman" w:cs="Times New Roman" w:asciiTheme="minorAscii" w:hAnsiTheme="minorAscii" w:eastAsiaTheme="minorAscii" w:cstheme="minorAscii"/>
          <w:noProof w:val="0"/>
          <w:lang w:val="en-US"/>
        </w:rPr>
        <w:t>These residues provide a combination of hydrophobic and aromatic environments that can accommodate chemically diverse ligand structures.</w:t>
      </w:r>
    </w:p>
    <w:p w:rsidR="04A5FC70" w:rsidP="40EE1397" w:rsidRDefault="04A5FC70" w14:paraId="5CA9F8F7" w14:textId="7206B3C0">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The distance analysis of the five top-ranked predicted ligands showed that all five ligands had a heavy-atom contact within 4 Å of each of the six core residues. Thus, each of the selected predicted ligands </w:t>
      </w:r>
      <w:r w:rsidRPr="40EE1397" w:rsidR="728B2566">
        <w:rPr>
          <w:rFonts w:ascii="Times New Roman" w:hAnsi="Times New Roman" w:eastAsia="Times New Roman" w:cs="Times New Roman" w:asciiTheme="minorAscii" w:hAnsiTheme="minorAscii" w:eastAsiaTheme="minorAscii" w:cstheme="minorAscii"/>
          <w:noProof w:val="0"/>
          <w:lang w:val="en-US"/>
        </w:rPr>
        <w:t>demonstrated</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a </w:t>
      </w:r>
      <w:r w:rsidRPr="40EE1397" w:rsidR="728B2566">
        <w:rPr>
          <w:rFonts w:ascii="Times New Roman" w:hAnsi="Times New Roman" w:eastAsia="Times New Roman" w:cs="Times New Roman" w:asciiTheme="minorAscii" w:hAnsiTheme="minorAscii" w:eastAsiaTheme="minorAscii" w:cstheme="minorAscii"/>
          <w:b w:val="1"/>
          <w:bCs w:val="1"/>
          <w:noProof w:val="0"/>
          <w:lang w:val="en-US"/>
        </w:rPr>
        <w:t>6/6 core-residue contact pattern</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under the distance criterion used in this study</w:t>
      </w:r>
      <w:r w:rsidRPr="40EE1397" w:rsidR="28B78425">
        <w:rPr>
          <w:rFonts w:ascii="Times New Roman" w:hAnsi="Times New Roman" w:eastAsia="Times New Roman" w:cs="Times New Roman" w:asciiTheme="minorAscii" w:hAnsiTheme="minorAscii" w:eastAsiaTheme="minorAscii" w:cstheme="minorAscii"/>
          <w:noProof w:val="0"/>
          <w:lang w:val="en-US"/>
        </w:rPr>
        <w:t xml:space="preserve"> </w:t>
      </w:r>
      <w:r w:rsidRPr="40EE1397" w:rsidR="28B78425">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28B78425">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28B78425">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474A03EF" w14:textId="45A3CD4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The minimum distances were generally approximately 3.15–3.75 Å. These distances are consistent with close ligand–residue proximity and support the interpretation that the selected ligands occupy the defined DBP region rather than merely docking elsewhere within the large search box.</w:t>
      </w:r>
    </w:p>
    <w:p w:rsidR="04A5FC70" w:rsidP="40EE1397" w:rsidRDefault="04A5FC70" w14:paraId="2B8D0C81" w14:textId="0A15E86E">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728B256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5.3 Docking performance of the predicted ligands</w:t>
      </w:r>
    </w:p>
    <w:p w:rsidR="04A5FC70" w:rsidP="40EE1397" w:rsidRDefault="04A5FC70" w14:paraId="724614F1" w14:textId="3C8A1BA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The five selected predicted ligands showed Vina scores ranging from </w:t>
      </w:r>
      <w:r w:rsidRPr="40EE1397" w:rsidR="728B2566">
        <w:rPr>
          <w:rFonts w:ascii="Times New Roman" w:hAnsi="Times New Roman" w:eastAsia="Times New Roman" w:cs="Times New Roman" w:asciiTheme="minorAscii" w:hAnsiTheme="minorAscii" w:eastAsiaTheme="minorAscii" w:cstheme="minorAscii"/>
          <w:b w:val="1"/>
          <w:bCs w:val="1"/>
          <w:noProof w:val="0"/>
          <w:lang w:val="en-US"/>
        </w:rPr>
        <w:t>−10.44 to −12.90 kcal/mol</w:t>
      </w:r>
      <w:r w:rsidRPr="40EE1397" w:rsidR="728B2566">
        <w:rPr>
          <w:rFonts w:ascii="Times New Roman" w:hAnsi="Times New Roman" w:eastAsia="Times New Roman" w:cs="Times New Roman" w:asciiTheme="minorAscii" w:hAnsiTheme="minorAscii" w:eastAsiaTheme="minorAscii" w:cstheme="minorAscii"/>
          <w:noProof w:val="0"/>
          <w:lang w:val="en-US"/>
        </w:rPr>
        <w:t>:</w:t>
      </w:r>
    </w:p>
    <w:tbl>
      <w:tblPr>
        <w:tblStyle w:val="TableGrid"/>
        <w:tblW w:w="0" w:type="auto"/>
        <w:jc w:val="center"/>
        <w:tblLook w:val="06A0" w:firstRow="1" w:lastRow="0" w:firstColumn="1" w:lastColumn="0" w:noHBand="1" w:noVBand="1"/>
      </w:tblPr>
      <w:tblGrid>
        <w:gridCol w:w="3120"/>
        <w:gridCol w:w="3120"/>
        <w:gridCol w:w="3120"/>
      </w:tblGrid>
      <w:tr w:rsidR="40EE1397" w:rsidTr="40EE1397" w14:paraId="2A024D9F">
        <w:trPr>
          <w:trHeight w:val="300"/>
        </w:trPr>
        <w:tc>
          <w:tcPr>
            <w:tcW w:w="3120" w:type="dxa"/>
            <w:tcMar/>
          </w:tcPr>
          <w:p w:rsidR="40EE1397" w:rsidP="40EE1397" w:rsidRDefault="40EE1397" w14:paraId="43120775" w14:textId="5058348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Ligand</w:t>
            </w:r>
          </w:p>
        </w:tc>
        <w:tc>
          <w:tcPr>
            <w:tcW w:w="3120" w:type="dxa"/>
            <w:tcMar/>
          </w:tcPr>
          <w:p w:rsidR="40EE1397" w:rsidP="40EE1397" w:rsidRDefault="40EE1397" w14:paraId="1785D65A" w14:textId="4DA3765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Vina score (kcal/mol)</w:t>
            </w:r>
          </w:p>
        </w:tc>
        <w:tc>
          <w:tcPr>
            <w:tcW w:w="3120" w:type="dxa"/>
            <w:tcMar/>
          </w:tcPr>
          <w:p w:rsidR="40EE1397" w:rsidP="40EE1397" w:rsidRDefault="40EE1397" w14:paraId="63F1707D" w14:textId="6551903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Core contacts</w:t>
            </w:r>
          </w:p>
        </w:tc>
      </w:tr>
      <w:tr w:rsidR="40EE1397" w:rsidTr="40EE1397" w14:paraId="48800DBE">
        <w:trPr>
          <w:trHeight w:val="300"/>
        </w:trPr>
        <w:tc>
          <w:tcPr>
            <w:tcW w:w="3120" w:type="dxa"/>
            <w:tcMar/>
          </w:tcPr>
          <w:p w:rsidR="40EE1397" w:rsidP="40EE1397" w:rsidRDefault="40EE1397" w14:paraId="099D4A92" w14:textId="465B610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CHEMBL254328</w:t>
            </w:r>
          </w:p>
        </w:tc>
        <w:tc>
          <w:tcPr>
            <w:tcW w:w="3120" w:type="dxa"/>
            <w:tcMar/>
          </w:tcPr>
          <w:p w:rsidR="40EE1397" w:rsidP="40EE1397" w:rsidRDefault="40EE1397" w14:paraId="3279A5B8" w14:textId="7D416A6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−12.90</w:t>
            </w:r>
          </w:p>
        </w:tc>
        <w:tc>
          <w:tcPr>
            <w:tcW w:w="3120" w:type="dxa"/>
            <w:tcMar/>
          </w:tcPr>
          <w:p w:rsidR="40EE1397" w:rsidP="40EE1397" w:rsidRDefault="40EE1397" w14:paraId="3D297407" w14:textId="01F3747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6E2AF036">
        <w:trPr>
          <w:trHeight w:val="300"/>
        </w:trPr>
        <w:tc>
          <w:tcPr>
            <w:tcW w:w="3120" w:type="dxa"/>
            <w:tcMar/>
          </w:tcPr>
          <w:p w:rsidR="40EE1397" w:rsidP="40EE1397" w:rsidRDefault="40EE1397" w14:paraId="3AF887B6" w14:textId="150425D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CHEMBL1170</w:t>
            </w:r>
          </w:p>
        </w:tc>
        <w:tc>
          <w:tcPr>
            <w:tcW w:w="3120" w:type="dxa"/>
            <w:tcMar/>
          </w:tcPr>
          <w:p w:rsidR="40EE1397" w:rsidP="40EE1397" w:rsidRDefault="40EE1397" w14:paraId="70E5CC0A" w14:textId="50C1665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−11.72</w:t>
            </w:r>
          </w:p>
        </w:tc>
        <w:tc>
          <w:tcPr>
            <w:tcW w:w="3120" w:type="dxa"/>
            <w:tcMar/>
          </w:tcPr>
          <w:p w:rsidR="40EE1397" w:rsidP="40EE1397" w:rsidRDefault="40EE1397" w14:paraId="750BFCA3" w14:textId="34D3F70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4692E983">
        <w:trPr>
          <w:trHeight w:val="300"/>
        </w:trPr>
        <w:tc>
          <w:tcPr>
            <w:tcW w:w="3120" w:type="dxa"/>
            <w:tcMar/>
          </w:tcPr>
          <w:p w:rsidR="40EE1397" w:rsidP="40EE1397" w:rsidRDefault="40EE1397" w14:paraId="05582FC5" w14:textId="7634AD2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CHEMBL1200374</w:t>
            </w:r>
          </w:p>
        </w:tc>
        <w:tc>
          <w:tcPr>
            <w:tcW w:w="3120" w:type="dxa"/>
            <w:tcMar/>
          </w:tcPr>
          <w:p w:rsidR="40EE1397" w:rsidP="40EE1397" w:rsidRDefault="40EE1397" w14:paraId="16613DCD" w14:textId="16657E4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−11.25</w:t>
            </w:r>
          </w:p>
        </w:tc>
        <w:tc>
          <w:tcPr>
            <w:tcW w:w="3120" w:type="dxa"/>
            <w:tcMar/>
          </w:tcPr>
          <w:p w:rsidR="40EE1397" w:rsidP="40EE1397" w:rsidRDefault="40EE1397" w14:paraId="2D50612B" w14:textId="74AD991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3D627A4F">
        <w:trPr>
          <w:trHeight w:val="300"/>
        </w:trPr>
        <w:tc>
          <w:tcPr>
            <w:tcW w:w="3120" w:type="dxa"/>
            <w:tcMar/>
          </w:tcPr>
          <w:p w:rsidR="40EE1397" w:rsidP="40EE1397" w:rsidRDefault="40EE1397" w14:paraId="4E45C67A" w14:textId="3A032AC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CHEMBL2107826</w:t>
            </w:r>
          </w:p>
        </w:tc>
        <w:tc>
          <w:tcPr>
            <w:tcW w:w="3120" w:type="dxa"/>
            <w:tcMar/>
          </w:tcPr>
          <w:p w:rsidR="40EE1397" w:rsidP="40EE1397" w:rsidRDefault="40EE1397" w14:paraId="161D8C2F" w14:textId="286CDDF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−10.98</w:t>
            </w:r>
          </w:p>
        </w:tc>
        <w:tc>
          <w:tcPr>
            <w:tcW w:w="3120" w:type="dxa"/>
            <w:tcMar/>
          </w:tcPr>
          <w:p w:rsidR="40EE1397" w:rsidP="40EE1397" w:rsidRDefault="40EE1397" w14:paraId="7D7D9131" w14:textId="2F470A1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r w:rsidR="40EE1397" w:rsidTr="40EE1397" w14:paraId="342EED1A">
        <w:trPr>
          <w:trHeight w:val="300"/>
        </w:trPr>
        <w:tc>
          <w:tcPr>
            <w:tcW w:w="3120" w:type="dxa"/>
            <w:tcMar/>
          </w:tcPr>
          <w:p w:rsidR="40EE1397" w:rsidP="40EE1397" w:rsidRDefault="40EE1397" w14:paraId="69DC0E26" w14:textId="2764621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CHEMBL1336</w:t>
            </w:r>
          </w:p>
        </w:tc>
        <w:tc>
          <w:tcPr>
            <w:tcW w:w="3120" w:type="dxa"/>
            <w:tcMar/>
          </w:tcPr>
          <w:p w:rsidR="40EE1397" w:rsidP="40EE1397" w:rsidRDefault="40EE1397" w14:paraId="395DA583" w14:textId="2B4325B4">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−10.44</w:t>
            </w:r>
          </w:p>
        </w:tc>
        <w:tc>
          <w:tcPr>
            <w:tcW w:w="3120" w:type="dxa"/>
            <w:tcMar/>
          </w:tcPr>
          <w:p w:rsidR="40EE1397" w:rsidP="40EE1397" w:rsidRDefault="40EE1397" w14:paraId="6B46F30B" w14:textId="4B08319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r>
    </w:tbl>
    <w:p w:rsidR="04A5FC70" w:rsidP="40EE1397" w:rsidRDefault="04A5FC70" w14:paraId="4B73D39A" w14:textId="2966BFC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CHEMBL254328 produced the most negative Vina score among the five selected compounds, at </w:t>
      </w:r>
      <w:r w:rsidRPr="40EE1397" w:rsidR="728B2566">
        <w:rPr>
          <w:rFonts w:ascii="Times New Roman" w:hAnsi="Times New Roman" w:eastAsia="Times New Roman" w:cs="Times New Roman" w:asciiTheme="minorAscii" w:hAnsiTheme="minorAscii" w:eastAsiaTheme="minorAscii" w:cstheme="minorAscii"/>
          <w:b w:val="1"/>
          <w:bCs w:val="1"/>
          <w:noProof w:val="0"/>
          <w:lang w:val="en-US"/>
        </w:rPr>
        <w:t>−12.90 kcal/mol</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and simultaneously </w:t>
      </w:r>
      <w:r w:rsidRPr="40EE1397" w:rsidR="728B2566">
        <w:rPr>
          <w:rFonts w:ascii="Times New Roman" w:hAnsi="Times New Roman" w:eastAsia="Times New Roman" w:cs="Times New Roman" w:asciiTheme="minorAscii" w:hAnsiTheme="minorAscii" w:eastAsiaTheme="minorAscii" w:cstheme="minorAscii"/>
          <w:noProof w:val="0"/>
          <w:lang w:val="en-US"/>
        </w:rPr>
        <w:t>maintained</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contacts with all six core residues. Its minimum distance to PHE178 was approximately </w:t>
      </w:r>
      <w:r w:rsidRPr="40EE1397" w:rsidR="728B2566">
        <w:rPr>
          <w:rFonts w:ascii="Times New Roman" w:hAnsi="Times New Roman" w:eastAsia="Times New Roman" w:cs="Times New Roman" w:asciiTheme="minorAscii" w:hAnsiTheme="minorAscii" w:eastAsiaTheme="minorAscii" w:cstheme="minorAscii"/>
          <w:b w:val="1"/>
          <w:bCs w:val="1"/>
          <w:noProof w:val="0"/>
          <w:lang w:val="en-US"/>
        </w:rPr>
        <w:t>3.15 Å</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w:t>
      </w:r>
      <w:r w:rsidRPr="40EE1397" w:rsidR="728B2566">
        <w:rPr>
          <w:rFonts w:ascii="Times New Roman" w:hAnsi="Times New Roman" w:eastAsia="Times New Roman" w:cs="Times New Roman" w:asciiTheme="minorAscii" w:hAnsiTheme="minorAscii" w:eastAsiaTheme="minorAscii" w:cstheme="minorAscii"/>
          <w:noProof w:val="0"/>
          <w:lang w:val="en-US"/>
        </w:rPr>
        <w:t>representing</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the shortest PHE178 contact among the five predicted ligands</w:t>
      </w:r>
      <w:r w:rsidRPr="40EE1397" w:rsidR="5F9FB1D3">
        <w:rPr>
          <w:rFonts w:ascii="Times New Roman" w:hAnsi="Times New Roman" w:eastAsia="Times New Roman" w:cs="Times New Roman" w:asciiTheme="minorAscii" w:hAnsiTheme="minorAscii" w:eastAsiaTheme="minorAscii" w:cstheme="minorAscii"/>
          <w:noProof w:val="0"/>
          <w:lang w:val="en-US"/>
        </w:rPr>
        <w:t xml:space="preserve"> </w:t>
      </w:r>
      <w:r w:rsidRPr="40EE1397" w:rsidR="5F9FB1D3">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5F9FB1D3">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5F9FB1D3">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p>
    <w:p w:rsidR="04A5FC70" w:rsidP="40EE1397" w:rsidRDefault="04A5FC70" w14:paraId="7CD97AEF" w14:textId="6F0A8CCA">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CHEMBL1170, CHEMBL1200374, CHEMBL2107826 and CHEMBL1336 similarly maintained contacts across the complete six-residue core. This consistency is important because it indicates that the selection was not based solely on docking score; the ligands also reproduced the spatial occupation of the defined DBP.</w:t>
      </w:r>
    </w:p>
    <w:p w:rsidR="04A5FC70" w:rsidP="40EE1397" w:rsidRDefault="04A5FC70" w14:paraId="78553602" w14:textId="014A02DB">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728B2566">
        <w:rPr>
          <w:rFonts w:ascii="Times New Roman" w:hAnsi="Times New Roman" w:eastAsia="Times New Roman" w:cs="Times New Roman" w:asciiTheme="minorAscii" w:hAnsiTheme="minorAscii" w:eastAsiaTheme="minorAscii" w:cstheme="minorAscii"/>
          <w:b w:val="0"/>
          <w:bCs w:val="0"/>
          <w:noProof w:val="0"/>
          <w:lang w:val="en-US"/>
        </w:rPr>
        <w:t>However, the Vina scores should be interpreted as computational docking scores, not</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experimentally measured binding free energies. Differences between docking scores should therefore be considered within the limitations of the docking method</w:t>
      </w:r>
      <w:r w:rsidRPr="40EE1397" w:rsidR="6E0606F0">
        <w:rPr>
          <w:rFonts w:ascii="Times New Roman" w:hAnsi="Times New Roman" w:eastAsia="Times New Roman" w:cs="Times New Roman" w:asciiTheme="minorAscii" w:hAnsiTheme="minorAscii" w:eastAsiaTheme="minorAscii" w:cstheme="minorAscii"/>
          <w:noProof w:val="0"/>
          <w:lang w:val="en-US"/>
        </w:rPr>
        <w:t xml:space="preserve"> </w:t>
      </w:r>
      <w:r w:rsidRPr="40EE1397" w:rsidR="6E0606F0">
        <w:rPr>
          <w:rFonts w:ascii="Times New Roman" w:hAnsi="Times New Roman" w:eastAsia="Times New Roman" w:cs="Times New Roman" w:asciiTheme="minorAscii" w:hAnsiTheme="minorAscii" w:eastAsiaTheme="minorAscii" w:cstheme="minorAscii"/>
          <w:noProof w:val="0"/>
          <w:color w:val="auto"/>
          <w:u w:val="none"/>
          <w:lang w:val="en-US"/>
        </w:rPr>
        <w:t>(</w:t>
      </w:r>
      <w:r w:rsidRPr="40EE1397" w:rsidR="41C0B714">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Jerome et al.</w:t>
      </w:r>
      <w:r w:rsidRPr="40EE1397" w:rsidR="41C0B714">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2021)</w:t>
      </w:r>
      <w:r w:rsidRPr="40EE1397" w:rsidR="7C79953C">
        <w:rPr>
          <w:rFonts w:ascii="Times New Roman" w:hAnsi="Times New Roman" w:eastAsia="Times New Roman" w:cs="Times New Roman" w:asciiTheme="minorAscii" w:hAnsiTheme="minorAscii" w:eastAsiaTheme="minorAscii" w:cstheme="minorAscii"/>
          <w:noProof w:val="0"/>
          <w:color w:val="auto"/>
          <w:sz w:val="24"/>
          <w:szCs w:val="24"/>
          <w:u w:val="none"/>
          <w:lang w:val="en-US"/>
        </w:rPr>
        <w:t>.</w:t>
      </w:r>
    </w:p>
    <w:p w:rsidR="04A5FC70" w:rsidP="40EE1397" w:rsidRDefault="04A5FC70" w14:paraId="1D0BD76B" w14:textId="4CBA356A">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728B256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5.4 Nature of ligand–residue interactions</w:t>
      </w:r>
    </w:p>
    <w:p w:rsidR="04A5FC70" w:rsidP="40EE1397" w:rsidRDefault="04A5FC70" w14:paraId="4058AB5E" w14:textId="27B80C9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The geometry analysis classified most interactions involving PHE178, PHE573, PHE610, PHE628 and TYR327 as </w:t>
      </w:r>
      <w:r w:rsidRPr="40EE1397" w:rsidR="728B2566">
        <w:rPr>
          <w:rFonts w:ascii="Times New Roman" w:hAnsi="Times New Roman" w:eastAsia="Times New Roman" w:cs="Times New Roman" w:asciiTheme="minorAscii" w:hAnsiTheme="minorAscii" w:eastAsiaTheme="minorAscii" w:cstheme="minorAscii"/>
          <w:b w:val="1"/>
          <w:bCs w:val="1"/>
          <w:noProof w:val="0"/>
          <w:lang w:val="en-US"/>
        </w:rPr>
        <w:t>aromatic-contact candidates</w:t>
      </w:r>
      <w:r w:rsidRPr="40EE1397" w:rsidR="728B2566">
        <w:rPr>
          <w:rFonts w:ascii="Times New Roman" w:hAnsi="Times New Roman" w:eastAsia="Times New Roman" w:cs="Times New Roman" w:asciiTheme="minorAscii" w:hAnsiTheme="minorAscii" w:eastAsiaTheme="minorAscii" w:cstheme="minorAscii"/>
          <w:noProof w:val="0"/>
          <w:lang w:val="en-US"/>
        </w:rPr>
        <w:t>. VAL139 was generally classified as a close-contact residue.</w:t>
      </w:r>
    </w:p>
    <w:p w:rsidR="04A5FC70" w:rsidP="40EE1397" w:rsidRDefault="04A5FC70" w14:paraId="668DE6DB" w14:textId="6BC633A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For example, CHEMBL254328 showed minimum distances of:</w:t>
      </w:r>
    </w:p>
    <w:p w:rsidR="04A5FC70" w:rsidP="40EE1397" w:rsidRDefault="04A5FC70" w14:paraId="69064AB5" w14:textId="1621F24C">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PHE178 — 3.154 Å </w:t>
      </w:r>
    </w:p>
    <w:p w:rsidR="04A5FC70" w:rsidP="40EE1397" w:rsidRDefault="04A5FC70" w14:paraId="29087312" w14:textId="20045F0B">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VAL139 — 3.487 Å </w:t>
      </w:r>
    </w:p>
    <w:p w:rsidR="04A5FC70" w:rsidP="40EE1397" w:rsidRDefault="04A5FC70" w14:paraId="35669945" w14:textId="6531569B">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TYR327 — 3.566 Å </w:t>
      </w:r>
    </w:p>
    <w:p w:rsidR="04A5FC70" w:rsidP="40EE1397" w:rsidRDefault="04A5FC70" w14:paraId="1E03E64E" w14:textId="641EE502">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PHE573 — 3.731 Å </w:t>
      </w:r>
    </w:p>
    <w:p w:rsidR="04A5FC70" w:rsidP="40EE1397" w:rsidRDefault="04A5FC70" w14:paraId="0786B158" w14:textId="48E9BAD3">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PHE610 — 3.705 Å </w:t>
      </w:r>
    </w:p>
    <w:p w:rsidR="04A5FC70" w:rsidP="40EE1397" w:rsidRDefault="04A5FC70" w14:paraId="3C77F67A" w14:textId="747DC854">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PHE628 — 3.429 Å </w:t>
      </w:r>
    </w:p>
    <w:p w:rsidR="04A5FC70" w:rsidP="40EE1397" w:rsidRDefault="04A5FC70" w14:paraId="2F279462" w14:textId="5D6400FE">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This pattern </w:t>
      </w:r>
      <w:r w:rsidRPr="40EE1397" w:rsidR="728B2566">
        <w:rPr>
          <w:rFonts w:ascii="Times New Roman" w:hAnsi="Times New Roman" w:eastAsia="Times New Roman" w:cs="Times New Roman" w:asciiTheme="minorAscii" w:hAnsiTheme="minorAscii" w:eastAsiaTheme="minorAscii" w:cstheme="minorAscii"/>
          <w:noProof w:val="0"/>
          <w:lang w:val="en-US"/>
        </w:rPr>
        <w:t>indicates</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that CHEMBL254328 occupies the central region defined by the six core residues and </w:t>
      </w:r>
      <w:r w:rsidRPr="40EE1397" w:rsidR="728B2566">
        <w:rPr>
          <w:rFonts w:ascii="Times New Roman" w:hAnsi="Times New Roman" w:eastAsia="Times New Roman" w:cs="Times New Roman" w:asciiTheme="minorAscii" w:hAnsiTheme="minorAscii" w:eastAsiaTheme="minorAscii" w:cstheme="minorAscii"/>
          <w:noProof w:val="0"/>
          <w:lang w:val="en-US"/>
        </w:rPr>
        <w:t>establishes</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close contacts across both aromatic and hydrophobic components of the pocket</w:t>
      </w:r>
      <w:r w:rsidRPr="40EE1397" w:rsidR="4B3D7FAA">
        <w:rPr>
          <w:rFonts w:ascii="Times New Roman" w:hAnsi="Times New Roman" w:eastAsia="Times New Roman" w:cs="Times New Roman" w:asciiTheme="minorAscii" w:hAnsiTheme="minorAscii" w:eastAsiaTheme="minorAscii" w:cstheme="minorAscii"/>
          <w:noProof w:val="0"/>
          <w:lang w:val="en-US"/>
        </w:rPr>
        <w:t xml:space="preserve"> </w:t>
      </w:r>
      <w:r w:rsidRPr="40EE1397" w:rsidR="4B3D7FAA">
        <w:rPr>
          <w:rFonts w:ascii="Times New Roman" w:hAnsi="Times New Roman" w:eastAsia="Times New Roman" w:cs="Times New Roman" w:asciiTheme="minorAscii" w:hAnsiTheme="minorAscii" w:eastAsiaTheme="minorAscii" w:cstheme="minorAscii"/>
          <w:noProof w:val="0"/>
          <w:color w:val="auto"/>
          <w:u w:val="none"/>
          <w:lang w:val="en-US"/>
        </w:rPr>
        <w:t>(</w:t>
      </w:r>
      <w:hyperlink r:id="R612e3353dd4a43f1">
        <w:r w:rsidRPr="40EE1397" w:rsidR="4B3D7FAA">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Ryosuke </w:t>
        </w:r>
      </w:hyperlink>
      <w:r w:rsidRPr="40EE1397" w:rsidR="4B3D7FAA">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al.,2013).</w:t>
      </w:r>
    </w:p>
    <w:p w:rsidR="04A5FC70" w:rsidP="40EE1397" w:rsidRDefault="04A5FC70" w14:paraId="491234EC" w14:textId="42F3621D">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The interaction pattern was not identical for every ligand. Some ligands contacted aromatic residues through carbon atoms, whereas others contained oxygen or fluorine atoms positioned near aromatic residues. This demonstrates that the DBP can accommodate different chemical functionalities while maintaining occupation of the same structural region.</w:t>
      </w:r>
    </w:p>
    <w:p w:rsidR="04A5FC70" w:rsidP="40EE1397" w:rsidRDefault="04A5FC70" w14:paraId="67BDA421" w14:textId="267B5990">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Importantly, the automated analysis describes these interactions as </w:t>
      </w:r>
      <w:r w:rsidRPr="40EE1397" w:rsidR="728B2566">
        <w:rPr>
          <w:rFonts w:ascii="Times New Roman" w:hAnsi="Times New Roman" w:eastAsia="Times New Roman" w:cs="Times New Roman" w:asciiTheme="minorAscii" w:hAnsiTheme="minorAscii" w:eastAsiaTheme="minorAscii" w:cstheme="minorAscii"/>
          <w:b w:val="1"/>
          <w:bCs w:val="1"/>
          <w:noProof w:val="0"/>
          <w:lang w:val="en-US"/>
        </w:rPr>
        <w:t>“aromatic-contact candidates”</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based primarily on distance and atom/residue characteristics. They should not automatically be interpreted as experimentally confirmed π–π stacking, hydrogen bonding, halogen bonding, or other specific interaction types without examination of the complete 3D geometry.</w:t>
      </w:r>
    </w:p>
    <w:p w:rsidR="04A5FC70" w:rsidP="40EE1397" w:rsidRDefault="04A5FC70" w14:paraId="0E034B71" w14:textId="3F1AD6FF">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p>
    <w:p w:rsidR="04A5FC70" w:rsidP="40EE1397" w:rsidRDefault="04A5FC70" w14:paraId="3D7C5D2D" w14:textId="227A57E6">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728B256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5.5 Validation using experimentally characterized reference ligands</w:t>
      </w:r>
    </w:p>
    <w:p w:rsidR="04A5FC70" w:rsidP="40EE1397" w:rsidRDefault="04A5FC70" w14:paraId="4963C4BF" w14:textId="21849860">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Four experimentally characterized reference compounds were independently docked into the same Binding-state DBP:</w:t>
      </w:r>
    </w:p>
    <w:tbl>
      <w:tblPr>
        <w:tblStyle w:val="TableGrid"/>
        <w:bidiVisual w:val="0"/>
        <w:tblW w:w="0" w:type="auto"/>
        <w:jc w:val="center"/>
        <w:tblLook w:val="06A0" w:firstRow="1" w:lastRow="0" w:firstColumn="1" w:lastColumn="0" w:noHBand="1" w:noVBand="1"/>
      </w:tblPr>
      <w:tblGrid>
        <w:gridCol w:w="2340"/>
        <w:gridCol w:w="2340"/>
        <w:gridCol w:w="2340"/>
        <w:gridCol w:w="2340"/>
      </w:tblGrid>
      <w:tr w:rsidR="40EE1397" w:rsidTr="40EE1397" w14:paraId="18C79F29">
        <w:trPr>
          <w:trHeight w:val="300"/>
        </w:trPr>
        <w:tc>
          <w:tcPr>
            <w:tcW w:w="2340" w:type="dxa"/>
            <w:tcMar/>
          </w:tcPr>
          <w:p w:rsidR="40EE1397" w:rsidP="40EE1397" w:rsidRDefault="40EE1397" w14:paraId="76415462" w14:textId="5F73CF8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Reference ligand</w:t>
            </w:r>
          </w:p>
        </w:tc>
        <w:tc>
          <w:tcPr>
            <w:tcW w:w="2340" w:type="dxa"/>
            <w:tcMar/>
          </w:tcPr>
          <w:p w:rsidR="40EE1397" w:rsidP="40EE1397" w:rsidRDefault="40EE1397" w14:paraId="3499298A" w14:textId="4C1C444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Vina score (kcal/mol)</w:t>
            </w:r>
          </w:p>
        </w:tc>
        <w:tc>
          <w:tcPr>
            <w:tcW w:w="2340" w:type="dxa"/>
            <w:tcMar/>
          </w:tcPr>
          <w:p w:rsidR="40EE1397" w:rsidP="40EE1397" w:rsidRDefault="40EE1397" w14:paraId="33B60F81" w14:textId="4D4AD08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Core contacts</w:t>
            </w:r>
          </w:p>
        </w:tc>
        <w:tc>
          <w:tcPr>
            <w:tcW w:w="2340" w:type="dxa"/>
            <w:tcMar/>
          </w:tcPr>
          <w:p w:rsidR="40EE1397" w:rsidP="40EE1397" w:rsidRDefault="40EE1397" w14:paraId="43AAEDDE" w14:textId="704BD2FB">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40EE1397" w:rsidR="40EE1397">
              <w:rPr>
                <w:rFonts w:ascii="Times New Roman" w:hAnsi="Times New Roman" w:eastAsia="Times New Roman" w:cs="Times New Roman" w:asciiTheme="minorAscii" w:hAnsiTheme="minorAscii" w:eastAsiaTheme="minorAscii" w:cstheme="minorAscii"/>
                <w:b w:val="1"/>
                <w:bCs w:val="1"/>
              </w:rPr>
              <w:t>Experimental activity</w:t>
            </w:r>
          </w:p>
        </w:tc>
      </w:tr>
      <w:tr w:rsidR="40EE1397" w:rsidTr="40EE1397" w14:paraId="38EF7C83">
        <w:trPr>
          <w:trHeight w:val="300"/>
        </w:trPr>
        <w:tc>
          <w:tcPr>
            <w:tcW w:w="2340" w:type="dxa"/>
            <w:tcMar/>
          </w:tcPr>
          <w:p w:rsidR="40EE1397" w:rsidP="40EE1397" w:rsidRDefault="40EE1397" w14:paraId="4052A718" w14:textId="1D23B733">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CHEMBL191703</w:t>
            </w:r>
          </w:p>
        </w:tc>
        <w:tc>
          <w:tcPr>
            <w:tcW w:w="2340" w:type="dxa"/>
            <w:tcMar/>
          </w:tcPr>
          <w:p w:rsidR="40EE1397" w:rsidP="40EE1397" w:rsidRDefault="40EE1397" w14:paraId="57390F5D" w14:textId="325087E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−10.03</w:t>
            </w:r>
          </w:p>
        </w:tc>
        <w:tc>
          <w:tcPr>
            <w:tcW w:w="2340" w:type="dxa"/>
            <w:tcMar/>
          </w:tcPr>
          <w:p w:rsidR="40EE1397" w:rsidP="40EE1397" w:rsidRDefault="40EE1397" w14:paraId="6C3FA4FD" w14:textId="0AF41D9C">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4/6</w:t>
            </w:r>
          </w:p>
        </w:tc>
        <w:tc>
          <w:tcPr>
            <w:tcW w:w="2340" w:type="dxa"/>
            <w:tcMar/>
          </w:tcPr>
          <w:p w:rsidR="40EE1397" w:rsidP="40EE1397" w:rsidRDefault="40EE1397" w14:paraId="023EBD33" w14:textId="5FAFFD6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MIC 8.0 µg/mL</w:t>
            </w:r>
          </w:p>
        </w:tc>
      </w:tr>
      <w:tr w:rsidR="40EE1397" w:rsidTr="40EE1397" w14:paraId="0D731EED">
        <w:trPr>
          <w:trHeight w:val="300"/>
        </w:trPr>
        <w:tc>
          <w:tcPr>
            <w:tcW w:w="2340" w:type="dxa"/>
            <w:tcMar/>
          </w:tcPr>
          <w:p w:rsidR="40EE1397" w:rsidP="40EE1397" w:rsidRDefault="40EE1397" w14:paraId="4051C7FD" w14:textId="68919BC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CHEMBL297453</w:t>
            </w:r>
          </w:p>
        </w:tc>
        <w:tc>
          <w:tcPr>
            <w:tcW w:w="2340" w:type="dxa"/>
            <w:tcMar/>
          </w:tcPr>
          <w:p w:rsidR="40EE1397" w:rsidP="40EE1397" w:rsidRDefault="40EE1397" w14:paraId="6BE971AD" w14:textId="33052865">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−10.72</w:t>
            </w:r>
          </w:p>
        </w:tc>
        <w:tc>
          <w:tcPr>
            <w:tcW w:w="2340" w:type="dxa"/>
            <w:tcMar/>
          </w:tcPr>
          <w:p w:rsidR="40EE1397" w:rsidP="40EE1397" w:rsidRDefault="40EE1397" w14:paraId="1E623316" w14:textId="7C332BC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5/6</w:t>
            </w:r>
          </w:p>
        </w:tc>
        <w:tc>
          <w:tcPr>
            <w:tcW w:w="2340" w:type="dxa"/>
            <w:tcMar/>
          </w:tcPr>
          <w:p w:rsidR="40EE1397" w:rsidP="40EE1397" w:rsidRDefault="40EE1397" w14:paraId="705EE5A7" w14:textId="0EC63FC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MIC 12.6992 µg/mL</w:t>
            </w:r>
          </w:p>
        </w:tc>
      </w:tr>
      <w:tr w:rsidR="40EE1397" w:rsidTr="40EE1397" w14:paraId="1A136482">
        <w:trPr>
          <w:trHeight w:val="300"/>
        </w:trPr>
        <w:tc>
          <w:tcPr>
            <w:tcW w:w="2340" w:type="dxa"/>
            <w:tcMar/>
          </w:tcPr>
          <w:p w:rsidR="40EE1397" w:rsidP="40EE1397" w:rsidRDefault="40EE1397" w14:paraId="6464B10C" w14:textId="4DBB96B7">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CHEMBL4064721</w:t>
            </w:r>
          </w:p>
        </w:tc>
        <w:tc>
          <w:tcPr>
            <w:tcW w:w="2340" w:type="dxa"/>
            <w:tcMar/>
          </w:tcPr>
          <w:p w:rsidR="40EE1397" w:rsidP="40EE1397" w:rsidRDefault="40EE1397" w14:paraId="0557D931" w14:textId="04C1398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−9.355</w:t>
            </w:r>
          </w:p>
        </w:tc>
        <w:tc>
          <w:tcPr>
            <w:tcW w:w="2340" w:type="dxa"/>
            <w:tcMar/>
          </w:tcPr>
          <w:p w:rsidR="40EE1397" w:rsidP="40EE1397" w:rsidRDefault="40EE1397" w14:paraId="2A88A6B2" w14:textId="434F6849">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c>
          <w:tcPr>
            <w:tcW w:w="2340" w:type="dxa"/>
            <w:tcMar/>
          </w:tcPr>
          <w:p w:rsidR="40EE1397" w:rsidP="40EE1397" w:rsidRDefault="40EE1397" w14:paraId="15B7A911" w14:textId="18ACB742">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MEC &gt;100 µM</w:t>
            </w:r>
          </w:p>
        </w:tc>
      </w:tr>
      <w:tr w:rsidR="40EE1397" w:rsidTr="40EE1397" w14:paraId="028805B8">
        <w:trPr>
          <w:trHeight w:val="300"/>
        </w:trPr>
        <w:tc>
          <w:tcPr>
            <w:tcW w:w="2340" w:type="dxa"/>
            <w:tcMar/>
          </w:tcPr>
          <w:p w:rsidR="40EE1397" w:rsidP="40EE1397" w:rsidRDefault="40EE1397" w14:paraId="604FCA5F" w14:textId="7E965200">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CHEMBL5569750</w:t>
            </w:r>
          </w:p>
        </w:tc>
        <w:tc>
          <w:tcPr>
            <w:tcW w:w="2340" w:type="dxa"/>
            <w:tcMar/>
          </w:tcPr>
          <w:p w:rsidR="40EE1397" w:rsidP="40EE1397" w:rsidRDefault="40EE1397" w14:paraId="0BAC65A9" w14:textId="73D03776">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−9.448</w:t>
            </w:r>
          </w:p>
        </w:tc>
        <w:tc>
          <w:tcPr>
            <w:tcW w:w="2340" w:type="dxa"/>
            <w:tcMar/>
          </w:tcPr>
          <w:p w:rsidR="40EE1397" w:rsidP="40EE1397" w:rsidRDefault="40EE1397" w14:paraId="70F53C15" w14:textId="39956111">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6/6</w:t>
            </w:r>
          </w:p>
        </w:tc>
        <w:tc>
          <w:tcPr>
            <w:tcW w:w="2340" w:type="dxa"/>
            <w:tcMar/>
          </w:tcPr>
          <w:p w:rsidR="40EE1397" w:rsidP="40EE1397" w:rsidRDefault="40EE1397" w14:paraId="6EE22E28" w14:textId="554139B4">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rPr>
            </w:pPr>
            <w:r w:rsidRPr="40EE1397" w:rsidR="40EE1397">
              <w:rPr>
                <w:rFonts w:ascii="Times New Roman" w:hAnsi="Times New Roman" w:eastAsia="Times New Roman" w:cs="Times New Roman" w:asciiTheme="minorAscii" w:hAnsiTheme="minorAscii" w:eastAsiaTheme="minorAscii" w:cstheme="minorAscii"/>
              </w:rPr>
              <w:t>MEC 18.9404 µM</w:t>
            </w:r>
          </w:p>
        </w:tc>
      </w:tr>
    </w:tbl>
    <w:p w:rsidR="04A5FC70" w:rsidP="40EE1397" w:rsidRDefault="04A5FC70" w14:paraId="39D92FEE" w14:textId="351E5248">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Three of the four reference ligands reproduced at least five of the six core-residue contacts, while CHEMBL191703 reproduced four of six. CHEMBL4064721 and CHEMBL5569750 reproduced the complete 6/6 core-contact pattern.</w:t>
      </w:r>
    </w:p>
    <w:p w:rsidR="04A5FC70" w:rsidP="40EE1397" w:rsidRDefault="04A5FC70" w14:paraId="139DB06E" w14:textId="20799D86">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This provides structural support for the relevance of the defined six-residue DBP because experimentally characterized compounds were able to occupy the same region </w:t>
      </w:r>
      <w:r w:rsidRPr="40EE1397" w:rsidR="728B2566">
        <w:rPr>
          <w:rFonts w:ascii="Times New Roman" w:hAnsi="Times New Roman" w:eastAsia="Times New Roman" w:cs="Times New Roman" w:asciiTheme="minorAscii" w:hAnsiTheme="minorAscii" w:eastAsiaTheme="minorAscii" w:cstheme="minorAscii"/>
          <w:noProof w:val="0"/>
          <w:lang w:val="en-US"/>
        </w:rPr>
        <w:t>identified</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during the computational workflow</w:t>
      </w:r>
      <w:r w:rsidRPr="40EE1397" w:rsidR="4DB8F82C">
        <w:rPr>
          <w:rFonts w:ascii="Times New Roman" w:hAnsi="Times New Roman" w:eastAsia="Times New Roman" w:cs="Times New Roman" w:asciiTheme="minorAscii" w:hAnsiTheme="minorAscii" w:eastAsiaTheme="minorAscii" w:cstheme="minorAscii"/>
          <w:noProof w:val="0"/>
          <w:lang w:val="en-US"/>
        </w:rPr>
        <w:t xml:space="preserve"> </w:t>
      </w:r>
      <w:r w:rsidRPr="40EE1397" w:rsidR="4DB8F82C">
        <w:rPr>
          <w:rFonts w:ascii="Times New Roman" w:hAnsi="Times New Roman" w:eastAsia="Times New Roman" w:cs="Times New Roman" w:asciiTheme="minorAscii" w:hAnsiTheme="minorAscii" w:eastAsiaTheme="minorAscii" w:cstheme="minorAscii"/>
          <w:noProof w:val="0"/>
          <w:color w:val="auto"/>
          <w:u w:val="none"/>
          <w:lang w:val="en-US"/>
        </w:rPr>
        <w:t>(</w:t>
      </w:r>
      <w:hyperlink r:id="R368946056b9b413d">
        <w:r w:rsidRPr="40EE1397" w:rsidR="4DB8F82C">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Ryosuke </w:t>
        </w:r>
      </w:hyperlink>
      <w:r w:rsidRPr="40EE1397" w:rsidR="4DB8F82C">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al.,2013).</w:t>
      </w:r>
    </w:p>
    <w:p w:rsidR="04A5FC70" w:rsidP="40EE1397" w:rsidRDefault="04A5FC70" w14:paraId="22B0F594" w14:textId="70CC583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The reference-ligand results also demonstrate why docking score alone should not be used as the sole validation criterion. For example, CHEMBL297453 had a Vina score of −10.72 kcal/mol and five core contacts, whereas CHEMBL4064721 had a less negative score of −9.355 kcal/mol but six core contacts. Furthermore, the experimental activities are reported using different measures and units (MIC versus MEC), so a direct numerical correlation between the experimental activity values and Vina scores cannot be established from this small dataset.</w:t>
      </w:r>
    </w:p>
    <w:p w:rsidR="04A5FC70" w:rsidP="40EE1397" w:rsidRDefault="04A5FC70" w14:paraId="1335E688" w14:textId="3A5BCD0F">
      <w:pPr>
        <w:pStyle w:val="Heading3"/>
        <w:bidi w:val="0"/>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40EE1397" w:rsidR="728B256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5.6 Overall interpretation</w:t>
      </w:r>
    </w:p>
    <w:p w:rsidR="04A5FC70" w:rsidP="40EE1397" w:rsidRDefault="04A5FC70" w14:paraId="4CA64031" w14:textId="6010CE6D">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Taken together, the docking and geometry analyses provide a consistent computational picture of the MexB DBP. The predicted ligands and experimentally characterized reference compounds were capable of occupying a common region defined by PHE178, VAL139, TYR327, PHE573, PHE610 and PHE628.</w:t>
      </w:r>
    </w:p>
    <w:p w:rsidR="04A5FC70" w:rsidP="40EE1397" w:rsidRDefault="04A5FC70" w14:paraId="30D680E3" w14:textId="3E2C1C89">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The combination of </w:t>
      </w:r>
      <w:r w:rsidRPr="40EE1397" w:rsidR="728B2566">
        <w:rPr>
          <w:rFonts w:ascii="Times New Roman" w:hAnsi="Times New Roman" w:eastAsia="Times New Roman" w:cs="Times New Roman" w:asciiTheme="minorAscii" w:hAnsiTheme="minorAscii" w:eastAsiaTheme="minorAscii" w:cstheme="minorAscii"/>
          <w:b w:val="1"/>
          <w:bCs w:val="1"/>
          <w:noProof w:val="0"/>
          <w:lang w:val="en-US"/>
        </w:rPr>
        <w:t>P2Rank pocket prediction → Binding-state selection → DBP docking → core-residue interaction analysis → reference-ligand validation</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provides greater structural evidence than relying on docking affinity alone.</w:t>
      </w:r>
    </w:p>
    <w:p w:rsidR="04A5FC70" w:rsidP="40EE1397" w:rsidRDefault="04A5FC70" w14:paraId="1DA555F6" w14:textId="2D03928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The results therefore support the use of the identified six-residue region as a </w:t>
      </w:r>
      <w:r w:rsidRPr="40EE1397" w:rsidR="728B2566">
        <w:rPr>
          <w:rFonts w:ascii="Times New Roman" w:hAnsi="Times New Roman" w:eastAsia="Times New Roman" w:cs="Times New Roman" w:asciiTheme="minorAscii" w:hAnsiTheme="minorAscii" w:eastAsiaTheme="minorAscii" w:cstheme="minorAscii"/>
          <w:b w:val="1"/>
          <w:bCs w:val="1"/>
          <w:noProof w:val="0"/>
          <w:lang w:val="en-US"/>
        </w:rPr>
        <w:t>computationally defined DBP interaction signature</w:t>
      </w:r>
      <w:r w:rsidRPr="40EE1397" w:rsidR="728B2566">
        <w:rPr>
          <w:rFonts w:ascii="Times New Roman" w:hAnsi="Times New Roman" w:eastAsia="Times New Roman" w:cs="Times New Roman" w:asciiTheme="minorAscii" w:hAnsiTheme="minorAscii" w:eastAsiaTheme="minorAscii" w:cstheme="minorAscii"/>
          <w:noProof w:val="0"/>
          <w:lang w:val="en-US"/>
        </w:rPr>
        <w:t xml:space="preserve"> for subsequent ligand prioritization. Experimental biochemical or microbiological assays would nevertheless be required to establish whether the predicted compounds inhibit MexB function and to determine their actual potency.</w:t>
      </w:r>
    </w:p>
    <w:p w:rsidR="04A5FC70" w:rsidP="40EE1397" w:rsidRDefault="04A5FC70" w14:paraId="5BFDA5DE" w14:textId="783F9051">
      <w:pPr>
        <w:pStyle w:val="Heading1"/>
        <w:bidi w:val="0"/>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r w:rsidRPr="40EE1397" w:rsidR="76D67BA0">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t>6. Conclusion</w:t>
      </w:r>
    </w:p>
    <w:p w:rsidR="04A5FC70" w:rsidP="40EE1397" w:rsidRDefault="04A5FC70" w14:paraId="7EAB0392" w14:textId="363DDF6C">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The present study established a structure-based computational workflow for characterization and ligand screening of the MexB multidrug efflux transporter. Structural analysis of the MexB trimer enabled identification of the Access, Binding and Extrusion conformational states, followed by selection of the Binding-state protomer for detailed investigation of ligand recognition</w:t>
      </w:r>
      <w:r w:rsidRPr="40EE1397" w:rsidR="4B972DF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40EE1397" w:rsidR="4B972DF8">
        <w:rPr>
          <w:rFonts w:ascii="Times New Roman" w:hAnsi="Times New Roman" w:eastAsia="Times New Roman" w:cs="Times New Roman" w:asciiTheme="minorAscii" w:hAnsiTheme="minorAscii" w:eastAsiaTheme="minorAscii" w:cstheme="minorAscii"/>
          <w:noProof w:val="0"/>
          <w:lang w:val="en-US"/>
        </w:rPr>
        <w:t>(</w:t>
      </w:r>
      <w:hyperlink r:id="Rfb3c87657dce45a5">
        <w:r w:rsidRPr="40EE1397" w:rsidR="4B972DF8">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Ryosuke </w:t>
        </w:r>
      </w:hyperlink>
      <w:r w:rsidRPr="40EE1397" w:rsidR="4B972DF8">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al.,2013</w:t>
      </w:r>
      <w:r w:rsidRPr="40EE1397" w:rsidR="4B972DF8">
        <w:rPr>
          <w:rFonts w:ascii="Times New Roman" w:hAnsi="Times New Roman" w:eastAsia="Times New Roman" w:cs="Times New Roman" w:asciiTheme="minorAscii" w:hAnsiTheme="minorAscii" w:eastAsiaTheme="minorAscii" w:cstheme="minorAscii"/>
          <w:noProof w:val="0"/>
          <w:sz w:val="24"/>
          <w:szCs w:val="24"/>
          <w:lang w:val="en-US"/>
        </w:rPr>
        <w:t>).</w:t>
      </w:r>
    </w:p>
    <w:p w:rsidR="04A5FC70" w:rsidP="40EE1397" w:rsidRDefault="04A5FC70" w14:paraId="32AD37DD" w14:textId="32547392">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P2Rank-based pocket prediction and subsequent structural analysis identified a deep binding region </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containing</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 six core residues: </w:t>
      </w:r>
      <w:r w:rsidRPr="40EE1397" w:rsidR="76D67BA0">
        <w:rPr>
          <w:rFonts w:ascii="Times New Roman" w:hAnsi="Times New Roman" w:eastAsia="Times New Roman" w:cs="Times New Roman" w:asciiTheme="minorAscii" w:hAnsiTheme="minorAscii" w:eastAsiaTheme="minorAscii" w:cstheme="minorAscii"/>
          <w:b w:val="1"/>
          <w:bCs w:val="1"/>
          <w:noProof w:val="0"/>
          <w:sz w:val="24"/>
          <w:szCs w:val="24"/>
          <w:lang w:val="en-US"/>
        </w:rPr>
        <w:t>PHE178, VAL139, TYR327, PHE573, PHE610 and PHE628</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 These residues were </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subsequently</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 used as a structural interaction signature for evaluating docked ligands</w:t>
      </w:r>
      <w:r w:rsidRPr="40EE1397" w:rsidR="77E78014">
        <w:rPr>
          <w:rFonts w:ascii="Times New Roman" w:hAnsi="Times New Roman" w:eastAsia="Times New Roman" w:cs="Times New Roman" w:asciiTheme="minorAscii" w:hAnsiTheme="minorAscii" w:eastAsiaTheme="minorAscii" w:cstheme="minorAscii"/>
          <w:noProof w:val="0"/>
          <w:color w:val="auto"/>
          <w:u w:val="none"/>
          <w:lang w:val="en-US"/>
        </w:rPr>
        <w:t xml:space="preserve"> (</w:t>
      </w:r>
      <w:hyperlink r:id="R197ef5df0a3347ae">
        <w:r w:rsidRPr="40EE1397" w:rsidR="77E78014">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Radoslav </w:t>
        </w:r>
      </w:hyperlink>
      <w:r w:rsidRPr="40EE1397" w:rsidR="77E78014">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 2018).</w:t>
      </w:r>
    </w:p>
    <w:p w:rsidR="04A5FC70" w:rsidP="40EE1397" w:rsidRDefault="04A5FC70" w14:paraId="178329AA" w14:textId="3A10C357">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4"/>
          <w:szCs w:val="24"/>
          <w:u w:val="none"/>
          <w:lang w:val="en-US"/>
        </w:rPr>
      </w:pP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Virtual screening and molecular docking identified five predicted ligands with Vina scores between </w:t>
      </w:r>
      <w:r w:rsidRPr="40EE1397" w:rsidR="76D67BA0">
        <w:rPr>
          <w:rFonts w:ascii="Times New Roman" w:hAnsi="Times New Roman" w:eastAsia="Times New Roman" w:cs="Times New Roman" w:asciiTheme="minorAscii" w:hAnsiTheme="minorAscii" w:eastAsiaTheme="minorAscii" w:cstheme="minorAscii"/>
          <w:b w:val="1"/>
          <w:bCs w:val="1"/>
          <w:noProof w:val="0"/>
          <w:sz w:val="24"/>
          <w:szCs w:val="24"/>
          <w:lang w:val="en-US"/>
        </w:rPr>
        <w:t>−10.44 and −12.90 kcal/mol</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 All five predicted ligands established contacts within 4 Å of all six defined core residues. Among them, </w:t>
      </w:r>
      <w:r w:rsidRPr="40EE1397" w:rsidR="76D67BA0">
        <w:rPr>
          <w:rFonts w:ascii="Times New Roman" w:hAnsi="Times New Roman" w:eastAsia="Times New Roman" w:cs="Times New Roman" w:asciiTheme="minorAscii" w:hAnsiTheme="minorAscii" w:eastAsiaTheme="minorAscii" w:cstheme="minorAscii"/>
          <w:b w:val="1"/>
          <w:bCs w:val="1"/>
          <w:noProof w:val="0"/>
          <w:sz w:val="24"/>
          <w:szCs w:val="24"/>
          <w:lang w:val="en-US"/>
        </w:rPr>
        <w:t>CHEMBL254328</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 produced the most negative docking score (</w:t>
      </w:r>
      <w:r w:rsidRPr="40EE1397" w:rsidR="76D67BA0">
        <w:rPr>
          <w:rFonts w:ascii="Times New Roman" w:hAnsi="Times New Roman" w:eastAsia="Times New Roman" w:cs="Times New Roman" w:asciiTheme="minorAscii" w:hAnsiTheme="minorAscii" w:eastAsiaTheme="minorAscii" w:cstheme="minorAscii"/>
          <w:b w:val="1"/>
          <w:bCs w:val="1"/>
          <w:noProof w:val="0"/>
          <w:sz w:val="24"/>
          <w:szCs w:val="24"/>
          <w:lang w:val="en-US"/>
        </w:rPr>
        <w:t>−12.90 kcal/mol</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and showed a complete 6/6 core-residue contact pattern, making it a suitable representative ligand for visualization and further computational investigation</w:t>
      </w:r>
      <w:r w:rsidRPr="40EE1397" w:rsidR="27441CC9">
        <w:rPr>
          <w:rFonts w:ascii="Times New Roman" w:hAnsi="Times New Roman" w:eastAsia="Times New Roman" w:cs="Times New Roman" w:asciiTheme="minorAscii" w:hAnsiTheme="minorAscii" w:eastAsiaTheme="minorAscii" w:cstheme="minorAscii"/>
          <w:noProof w:val="0"/>
          <w:color w:val="auto"/>
          <w:u w:val="none"/>
          <w:lang w:val="en-US"/>
        </w:rPr>
        <w:t xml:space="preserve"> (</w:t>
      </w:r>
      <w:hyperlink r:id="R3f2d800ab43f4cd8">
        <w:r w:rsidRPr="40EE1397" w:rsidR="27441CC9">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Radoslav </w:t>
        </w:r>
      </w:hyperlink>
      <w:r w:rsidRPr="40EE1397" w:rsidR="27441CC9">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 2018).</w:t>
      </w:r>
    </w:p>
    <w:p w:rsidR="04A5FC70" w:rsidP="40EE1397" w:rsidRDefault="04A5FC70" w14:paraId="6B59AE2E" w14:textId="2F775588">
      <w:pPr>
        <w:pStyle w:val="Normal"/>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lang w:val="en-US"/>
        </w:rPr>
      </w:pP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Independent docking of four experimentally characterized reference ligands provided </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additional</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 structural validation. Three reference compounds reproduced five or all six core contacts, while the remaining compound reproduced four of six. This demonstrates that the computationally defined DBP is capable of accommodating experimentally characterized </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MexB</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-associated compounds</w:t>
      </w:r>
      <w:r w:rsidRPr="40EE1397" w:rsidR="4EB457E8">
        <w:rPr>
          <w:rFonts w:ascii="Times New Roman" w:hAnsi="Times New Roman" w:eastAsia="Times New Roman" w:cs="Times New Roman" w:asciiTheme="minorAscii" w:hAnsiTheme="minorAscii" w:eastAsiaTheme="minorAscii" w:cstheme="minorAscii"/>
          <w:noProof w:val="0"/>
          <w:lang w:val="en-US"/>
        </w:rPr>
        <w:t xml:space="preserve"> (</w:t>
      </w:r>
      <w:hyperlink r:id="Re4723965e2904f32">
        <w:r w:rsidRPr="40EE1397" w:rsidR="4EB457E8">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u w:val="none"/>
            <w:lang w:val="en-US"/>
          </w:rPr>
          <w:t xml:space="preserve">Ryosuke </w:t>
        </w:r>
      </w:hyperlink>
      <w:r w:rsidRPr="40EE1397" w:rsidR="4EB457E8">
        <w:rPr>
          <w:rFonts w:ascii="Times New Roman" w:hAnsi="Times New Roman" w:eastAsia="Times New Roman" w:cs="Times New Roman" w:asciiTheme="minorAscii" w:hAnsiTheme="minorAscii" w:eastAsiaTheme="minorAscii" w:cstheme="minorAscii"/>
          <w:noProof w:val="0"/>
          <w:color w:val="auto"/>
          <w:sz w:val="24"/>
          <w:szCs w:val="24"/>
          <w:u w:val="none"/>
          <w:lang w:val="en-US"/>
        </w:rPr>
        <w:t xml:space="preserve"> et al.,2013</w:t>
      </w:r>
      <w:r w:rsidRPr="40EE1397" w:rsidR="4EB457E8">
        <w:rPr>
          <w:rFonts w:ascii="Times New Roman" w:hAnsi="Times New Roman" w:eastAsia="Times New Roman" w:cs="Times New Roman" w:asciiTheme="minorAscii" w:hAnsiTheme="minorAscii" w:eastAsiaTheme="minorAscii" w:cstheme="minorAscii"/>
          <w:noProof w:val="0"/>
          <w:sz w:val="24"/>
          <w:szCs w:val="24"/>
          <w:lang w:val="en-US"/>
        </w:rPr>
        <w:t>).</w:t>
      </w:r>
    </w:p>
    <w:p w:rsidR="04A5FC70" w:rsidP="40EE1397" w:rsidRDefault="04A5FC70" w14:paraId="4E57ECDD" w14:textId="7154CB7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Overall, the study demonstrates that combining </w:t>
      </w:r>
      <w:r w:rsidRPr="40EE1397" w:rsidR="76D67BA0">
        <w:rPr>
          <w:rFonts w:ascii="Times New Roman" w:hAnsi="Times New Roman" w:eastAsia="Times New Roman" w:cs="Times New Roman" w:asciiTheme="minorAscii" w:hAnsiTheme="minorAscii" w:eastAsiaTheme="minorAscii" w:cstheme="minorAscii"/>
          <w:b w:val="1"/>
          <w:bCs w:val="1"/>
          <w:noProof w:val="0"/>
          <w:sz w:val="24"/>
          <w:szCs w:val="24"/>
          <w:lang w:val="en-US"/>
        </w:rPr>
        <w:t>conformational-state analysis, P2Rank pocket prediction, AutoDock Vina docking, distance-based interaction analysis and reference-ligand validation</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xml:space="preserve"> can be used to characterize the MexB deep binding pocket and prioritize candidate ligands for further investigation.The computational results provide a structural basis for future studies aimed at developing MexB inhibitors. However, the docking scores and predicted interactions should be regarded as </w:t>
      </w:r>
      <w:r w:rsidRPr="40EE1397" w:rsidR="76D67BA0">
        <w:rPr>
          <w:rFonts w:ascii="Times New Roman" w:hAnsi="Times New Roman" w:eastAsia="Times New Roman" w:cs="Times New Roman" w:asciiTheme="minorAscii" w:hAnsiTheme="minorAscii" w:eastAsiaTheme="minorAscii" w:cstheme="minorAscii"/>
          <w:b w:val="1"/>
          <w:bCs w:val="1"/>
          <w:noProof w:val="0"/>
          <w:sz w:val="24"/>
          <w:szCs w:val="24"/>
          <w:lang w:val="en-US"/>
        </w:rPr>
        <w:t>hypotheses requiring experimental validation</w:t>
      </w:r>
      <w:r w:rsidRPr="40EE1397" w:rsidR="76D67BA0">
        <w:rPr>
          <w:rFonts w:ascii="Times New Roman" w:hAnsi="Times New Roman" w:eastAsia="Times New Roman" w:cs="Times New Roman" w:asciiTheme="minorAscii" w:hAnsiTheme="minorAscii" w:eastAsiaTheme="minorAscii" w:cstheme="minorAscii"/>
          <w:noProof w:val="0"/>
          <w:sz w:val="24"/>
          <w:szCs w:val="24"/>
          <w:lang w:val="en-US"/>
        </w:rPr>
        <w:t>, such as MexB inhibition assays, efflux assays, antimicrobial susceptibility testing, and ultimately biochemical or structural studies.</w:t>
      </w:r>
    </w:p>
    <w:p w:rsidR="04A5FC70" w:rsidP="40EE1397" w:rsidRDefault="04A5FC70" w14:paraId="7AB03F4B" w14:textId="498035BA">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04A5FC70" w:rsidP="40EE1397" w:rsidRDefault="04A5FC70" w14:paraId="1230B104" w14:textId="2FAB964C">
      <w:pPr>
        <w:pStyle w:val="Heading1"/>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8"/>
          <w:szCs w:val="48"/>
          <w:lang w:val="en-US"/>
        </w:rPr>
      </w:pPr>
      <w:r w:rsidRPr="40EE1397" w:rsidR="26BEF41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8"/>
          <w:szCs w:val="48"/>
          <w:lang w:val="en-US"/>
        </w:rPr>
        <w:t xml:space="preserve">7. </w:t>
      </w:r>
      <w:r w:rsidRPr="40EE1397" w:rsidR="606E93C1">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48"/>
          <w:szCs w:val="48"/>
          <w:lang w:val="en-US"/>
        </w:rPr>
        <w:t>References</w:t>
      </w:r>
    </w:p>
    <w:p w:rsidR="76F39A27" w:rsidP="40EE1397" w:rsidRDefault="76F39A27" w14:paraId="7E0D374C" w14:textId="55BF30E1">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4FD4A7B9">
        <w:rPr>
          <w:rFonts w:ascii="Times New Roman" w:hAnsi="Times New Roman" w:eastAsia="Times New Roman" w:cs="Times New Roman" w:asciiTheme="minorAscii" w:hAnsiTheme="minorAscii" w:eastAsiaTheme="minorAscii" w:cstheme="minorAscii"/>
          <w:noProof w:val="0"/>
          <w:lang w:val="en-US"/>
        </w:rPr>
        <w:t>Yunguang Qiu, Feixiong Cheng, Artificial</w:t>
      </w:r>
      <w:r w:rsidRPr="40EE1397" w:rsidR="4FD4A7B9">
        <w:rPr>
          <w:rFonts w:ascii="Times New Roman" w:hAnsi="Times New Roman" w:eastAsia="Times New Roman" w:cs="Times New Roman" w:asciiTheme="minorAscii" w:hAnsiTheme="minorAscii" w:eastAsiaTheme="minorAscii" w:cstheme="minorAscii"/>
          <w:noProof w:val="0"/>
          <w:lang w:val="en-US"/>
        </w:rPr>
        <w:t xml:space="preserve"> intelligence for drug discovery and development in Alzheimer's disease, Current Opinion in Structural Biology, Volume 85,</w:t>
      </w:r>
      <w:r w:rsidRPr="40EE1397" w:rsidR="4FD4A7B9">
        <w:rPr>
          <w:rFonts w:ascii="Times New Roman" w:hAnsi="Times New Roman" w:eastAsia="Times New Roman" w:cs="Times New Roman" w:asciiTheme="minorAscii" w:hAnsiTheme="minorAscii" w:eastAsiaTheme="minorAscii" w:cstheme="minorAscii"/>
          <w:noProof w:val="0"/>
          <w:lang w:val="en-US"/>
        </w:rPr>
        <w:t xml:space="preserve">2024,102776, ISSN 0959-440X, </w:t>
      </w:r>
      <w:hyperlink r:id="R7ed2b8f5bf07494d">
        <w:r w:rsidRPr="40EE1397" w:rsidR="4FD4A7B9">
          <w:rPr>
            <w:rStyle w:val="Hyperlink"/>
            <w:rFonts w:ascii="Times New Roman" w:hAnsi="Times New Roman" w:eastAsia="Times New Roman" w:cs="Times New Roman" w:asciiTheme="minorAscii" w:hAnsiTheme="minorAscii" w:eastAsiaTheme="minorAscii" w:cstheme="minorAscii"/>
            <w:noProof w:val="0"/>
            <w:lang w:val="en-US"/>
          </w:rPr>
          <w:t>https://doi.org/10.1016/j.sbi.2024.102776</w:t>
        </w:r>
      </w:hyperlink>
      <w:r w:rsidRPr="40EE1397" w:rsidR="4FD4A7B9">
        <w:rPr>
          <w:rFonts w:ascii="Times New Roman" w:hAnsi="Times New Roman" w:eastAsia="Times New Roman" w:cs="Times New Roman" w:asciiTheme="minorAscii" w:hAnsiTheme="minorAscii" w:eastAsiaTheme="minorAscii" w:cstheme="minorAscii"/>
          <w:noProof w:val="0"/>
          <w:lang w:val="en-US"/>
        </w:rPr>
        <w:t>.</w:t>
      </w:r>
    </w:p>
    <w:p w:rsidR="1C525194" w:rsidP="40EE1397" w:rsidRDefault="1C525194" w14:paraId="5AF0DCBE" w14:textId="0A113404">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16412D0B" w:rsidP="407B6502" w:rsidRDefault="16412D0B" w14:paraId="7DA56774" w14:textId="143992E2">
      <w:pPr>
        <w:pStyle w:val="ListParagraph"/>
        <w:numPr>
          <w:ilvl w:val="0"/>
          <w:numId w:val="1"/>
        </w:numPr>
        <w:rPr>
          <w:rFonts w:ascii="Times New Roman" w:hAnsi="Times New Roman" w:eastAsia="Times New Roman" w:cs="Times New Roman" w:asciiTheme="minorAscii" w:hAnsiTheme="minorAscii" w:eastAsiaTheme="minorAscii" w:cstheme="minorAscii"/>
          <w:noProof w:val="0"/>
          <w:sz w:val="24"/>
          <w:szCs w:val="24"/>
          <w:lang w:val="en-US"/>
        </w:rPr>
      </w:pPr>
      <w:r w:rsidRPr="40EE1397" w:rsidR="3E1D049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Vora, L.K.; Gholap, A.D.; Jetha, K.; Thakur, R.R.S.; Solanki, H.K.; Chavda, V.P. Artificial Intelligence in Pharmaceutical Technology and Drug Delivery Design. </w:t>
      </w:r>
      <w:r w:rsidRPr="40EE1397" w:rsidR="3E1D049A">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222222"/>
          <w:sz w:val="24"/>
          <w:szCs w:val="24"/>
          <w:lang w:val="en-US"/>
        </w:rPr>
        <w:t>Pharmaceutics</w:t>
      </w:r>
      <w:r w:rsidRPr="40EE1397" w:rsidR="3E1D049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40EE1397" w:rsidR="3E1D049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22222"/>
          <w:sz w:val="24"/>
          <w:szCs w:val="24"/>
          <w:lang w:val="en-US"/>
        </w:rPr>
        <w:t>2023</w:t>
      </w:r>
      <w:r w:rsidRPr="40EE1397" w:rsidR="3E1D049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w:t>
      </w:r>
      <w:r w:rsidRPr="40EE1397" w:rsidR="3E1D049A">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222222"/>
          <w:sz w:val="24"/>
          <w:szCs w:val="24"/>
          <w:lang w:val="en-US"/>
        </w:rPr>
        <w:t>15</w:t>
      </w:r>
      <w:r w:rsidRPr="40EE1397" w:rsidR="3E1D049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 xml:space="preserve">, 1916. </w:t>
      </w:r>
      <w:hyperlink r:id="Rd59daec1867d4b02">
        <w:r w:rsidRPr="40EE1397" w:rsidR="3E1D049A">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lang w:val="en-US"/>
          </w:rPr>
          <w:t>https://doi.org/10.3390/pharmaceutics15071916</w:t>
        </w:r>
      </w:hyperlink>
      <w:r w:rsidRPr="40EE1397" w:rsidR="3E1D049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22222"/>
          <w:sz w:val="24"/>
          <w:szCs w:val="24"/>
          <w:lang w:val="en-US"/>
        </w:rPr>
        <w:t>.</w:t>
      </w:r>
    </w:p>
    <w:p w:rsidR="1C525194" w:rsidP="1C525194" w:rsidRDefault="1C525194" w14:paraId="67810E5B" w14:textId="127F07FC">
      <w:pPr>
        <w:pStyle w:val="ListParagraph"/>
        <w:ind w:left="720"/>
        <w:rPr>
          <w:rFonts w:ascii="Times New Roman" w:hAnsi="Times New Roman" w:eastAsia="Times New Roman" w:cs="Times New Roman" w:asciiTheme="minorAscii" w:hAnsiTheme="minorAscii" w:eastAsiaTheme="minorAscii" w:cstheme="minorAscii"/>
          <w:noProof w:val="0"/>
          <w:sz w:val="24"/>
          <w:szCs w:val="24"/>
          <w:lang w:val="en-US"/>
        </w:rPr>
      </w:pPr>
    </w:p>
    <w:p w:rsidR="244D40FE" w:rsidP="1C525194" w:rsidRDefault="244D40FE" w14:paraId="0DD15A40" w14:textId="762F959F">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1C525194" w:rsidR="244D40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 xml:space="preserve">Ocana A, </w:t>
      </w:r>
      <w:r w:rsidRPr="1C525194" w:rsidR="244D40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Pandiella</w:t>
      </w:r>
      <w:r w:rsidRPr="1C525194" w:rsidR="244D40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 xml:space="preserve"> A, Privat C, Bravo I, Luengo-Oroz M, Amir E, </w:t>
      </w:r>
      <w:r w:rsidRPr="1C525194" w:rsidR="244D40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Gyorffy</w:t>
      </w:r>
      <w:r w:rsidRPr="1C525194" w:rsidR="244D40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 xml:space="preserve"> B. Integrating artificial intelligence in drug discovery and early drug development: a transformative approach. </w:t>
      </w:r>
      <w:r w:rsidRPr="1C525194" w:rsidR="244D40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Biomark</w:t>
      </w:r>
      <w:r w:rsidRPr="1C525194" w:rsidR="244D40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 xml:space="preserve"> Res. 2025 Mar 14;13(1):45. </w:t>
      </w:r>
      <w:r w:rsidRPr="1C525194" w:rsidR="244D40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doi</w:t>
      </w:r>
      <w:r w:rsidRPr="1C525194" w:rsidR="244D40F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12121"/>
          <w:sz w:val="24"/>
          <w:szCs w:val="24"/>
          <w:lang w:val="en-US"/>
        </w:rPr>
        <w:t>: 10.1186/s40364-025-00758-2.</w:t>
      </w:r>
    </w:p>
    <w:p w:rsidR="1C525194" w:rsidP="1C525194" w:rsidRDefault="1C525194" w14:paraId="155B766E" w14:textId="26707D06">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3311BE56" w:rsidP="1C525194" w:rsidRDefault="3311BE56" w14:paraId="7C3DCF67" w14:textId="4E31E7CA">
      <w:pPr>
        <w:pStyle w:val="ListParagraph"/>
        <w:numPr>
          <w:ilvl w:val="0"/>
          <w:numId w:val="1"/>
        </w:numPr>
        <w:rPr>
          <w:rFonts w:ascii="Times New Roman" w:hAnsi="Times New Roman" w:eastAsia="Times New Roman" w:cs="Times New Roman" w:asciiTheme="minorAscii" w:hAnsiTheme="minorAscii" w:eastAsiaTheme="minorAscii" w:cstheme="minorAscii"/>
          <w:noProof w:val="0"/>
          <w:color w:val="000000" w:themeColor="text1" w:themeTint="FF" w:themeShade="FF"/>
          <w:lang w:val="en-US"/>
        </w:rPr>
      </w:pPr>
      <w:r w:rsidRPr="40EE1397" w:rsidR="669184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Sela M, Chen G, Kadosh</w:t>
      </w:r>
      <w:r w:rsidRPr="40EE1397" w:rsidR="4852B4E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 AI</w:t>
      </w:r>
      <w:r w:rsidRPr="40EE1397" w:rsidR="669184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-Validated Brain Targeted mRNA Lipid Nanoparticles with Neuronal Tropism. </w:t>
      </w:r>
      <w:r w:rsidRPr="40EE1397" w:rsidR="66918487">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ACS Nano</w:t>
      </w:r>
      <w:r w:rsidRPr="40EE1397" w:rsidR="669184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21 October 2025; 19 (41): 36106–36128. </w:t>
      </w:r>
      <w:hyperlink r:id="R932bea4790aa4aa2">
        <w:r w:rsidRPr="40EE1397" w:rsidR="66918487">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000000" w:themeColor="text1" w:themeTint="FF" w:themeShade="FF"/>
            <w:u w:val="none"/>
            <w:lang w:val="en-US"/>
          </w:rPr>
          <w:t>https://doi.org/10.1021/acsnano.4c15013</w:t>
        </w:r>
      </w:hyperlink>
    </w:p>
    <w:p w:rsidR="1C525194" w:rsidP="1C525194" w:rsidRDefault="1C525194" w14:paraId="44AB363F" w14:textId="726269A8">
      <w:pPr>
        <w:pStyle w:val="ListParagraph"/>
        <w:ind w:left="720"/>
        <w:rPr>
          <w:rFonts w:ascii="Times New Roman" w:hAnsi="Times New Roman" w:eastAsia="Times New Roman" w:cs="Times New Roman" w:asciiTheme="minorAscii" w:hAnsiTheme="minorAscii" w:eastAsiaTheme="minorAscii" w:cstheme="minorAscii"/>
          <w:noProof w:val="0"/>
          <w:color w:val="000000" w:themeColor="text1" w:themeTint="FF" w:themeShade="FF"/>
          <w:lang w:val="en-US"/>
        </w:rPr>
      </w:pPr>
    </w:p>
    <w:p w:rsidR="552D1362" w:rsidP="1C525194" w:rsidRDefault="552D1362" w14:paraId="35BA37D5" w14:textId="781BEDDE">
      <w:pPr>
        <w:pStyle w:val="ListParagraph"/>
        <w:numPr>
          <w:ilvl w:val="0"/>
          <w:numId w:val="1"/>
        </w:numPr>
        <w:rPr>
          <w:rFonts w:ascii="Times New Roman" w:hAnsi="Times New Roman" w:eastAsia="Times New Roman" w:cs="Times New Roman" w:asciiTheme="minorAscii" w:hAnsiTheme="minorAscii" w:eastAsiaTheme="minorAscii" w:cstheme="minorAscii"/>
          <w:noProof w:val="0"/>
          <w:color w:val="auto"/>
          <w:lang w:val="en-US"/>
        </w:rPr>
      </w:pPr>
      <w:r w:rsidRPr="40EE1397" w:rsidR="3EE97F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Zampaloni</w:t>
      </w:r>
      <w:r w:rsidRPr="40EE1397" w:rsidR="3EE97F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 Mattei, P., Bleicher, K. </w:t>
      </w:r>
      <w:r w:rsidRPr="40EE1397" w:rsidR="3EE97FF4">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et al.</w:t>
      </w:r>
      <w:r w:rsidRPr="40EE1397" w:rsidR="3EE97F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 novel antibiotic class targeting the lipopolysaccharide transporter. </w:t>
      </w:r>
      <w:r w:rsidRPr="40EE1397" w:rsidR="3EE97FF4">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Nature</w:t>
      </w:r>
      <w:r w:rsidRPr="40EE1397" w:rsidR="3EE97F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0EE1397" w:rsidR="3EE97FF4">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625</w:t>
      </w:r>
      <w:r w:rsidRPr="40EE1397" w:rsidR="3EE97F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566–571 (2024). </w:t>
      </w:r>
      <w:hyperlink r:id="R0c711f45a111400d">
        <w:r w:rsidRPr="40EE1397" w:rsidR="3EE97FF4">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lang w:val="en-US"/>
          </w:rPr>
          <w:t>https://doi.org/10.1038/s41586-023-06873-0</w:t>
        </w:r>
      </w:hyperlink>
    </w:p>
    <w:p w:rsidR="1C525194" w:rsidP="1C525194" w:rsidRDefault="1C525194" w14:paraId="70519432" w14:textId="1F4C0D32">
      <w:pPr>
        <w:pStyle w:val="ListParagraph"/>
        <w:ind w:left="720"/>
        <w:rPr>
          <w:rFonts w:ascii="Times New Roman" w:hAnsi="Times New Roman" w:eastAsia="Times New Roman" w:cs="Times New Roman" w:asciiTheme="minorAscii" w:hAnsiTheme="minorAscii" w:eastAsiaTheme="minorAscii" w:cstheme="minorAscii"/>
          <w:noProof w:val="0"/>
          <w:color w:val="auto"/>
          <w:lang w:val="en-US"/>
        </w:rPr>
      </w:pPr>
    </w:p>
    <w:p w:rsidR="7168B469" w:rsidP="407B6502" w:rsidRDefault="7168B469" w14:paraId="48C86576" w14:textId="2AA74398">
      <w:pPr>
        <w:pStyle w:val="ListParagraph"/>
        <w:numPr>
          <w:ilvl w:val="0"/>
          <w:numId w:val="1"/>
        </w:numPr>
        <w:rPr>
          <w:rFonts w:ascii="Times New Roman" w:hAnsi="Times New Roman" w:eastAsia="Times New Roman" w:cs="Times New Roman" w:asciiTheme="minorAscii" w:hAnsiTheme="minorAscii" w:eastAsiaTheme="minorAscii" w:cstheme="minorAscii"/>
          <w:noProof w:val="0"/>
          <w:color w:val="auto"/>
          <w:lang w:val="en-US"/>
        </w:rPr>
      </w:pPr>
      <w:r w:rsidRPr="40EE1397" w:rsidR="550A88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Freiberg, J.A., Reyes Ruiz, V.M., </w:t>
      </w:r>
      <w:r w:rsidRPr="40EE1397" w:rsidR="550A88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Gimza</w:t>
      </w:r>
      <w:r w:rsidRPr="40EE1397" w:rsidR="550A88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B.D. </w:t>
      </w:r>
      <w:r w:rsidRPr="40EE1397" w:rsidR="550A8868">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et al.</w:t>
      </w:r>
      <w:r w:rsidRPr="40EE1397" w:rsidR="550A88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Restriction of arginine induces antibiotic tolerance in </w:t>
      </w:r>
      <w:r w:rsidRPr="40EE1397" w:rsidR="550A8868">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Staphylococcus aureus</w:t>
      </w:r>
      <w:r w:rsidRPr="40EE1397" w:rsidR="550A88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0EE1397" w:rsidR="550A8868">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Nat Commun</w:t>
      </w:r>
      <w:r w:rsidRPr="40EE1397" w:rsidR="550A88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0EE1397" w:rsidR="550A88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15</w:t>
      </w:r>
      <w:r w:rsidRPr="40EE1397" w:rsidR="550A88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6734 (2024). </w:t>
      </w:r>
      <w:hyperlink r:id="Rfa6836468d014ac9">
        <w:r w:rsidRPr="40EE1397" w:rsidR="550A8868">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lang w:val="en-US"/>
          </w:rPr>
          <w:t>https://doi.org/10.1038/s41467-024-51144-9</w:t>
        </w:r>
      </w:hyperlink>
      <w:r w:rsidRPr="40EE1397" w:rsidR="604877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p>
    <w:p w:rsidR="407B6502" w:rsidP="407B6502" w:rsidRDefault="407B6502" w14:paraId="7EDC6C8C" w14:textId="6FD891E3">
      <w:pPr>
        <w:pStyle w:val="ListParagraph"/>
        <w:ind w:left="720"/>
        <w:rPr>
          <w:rFonts w:ascii="Times New Roman" w:hAnsi="Times New Roman" w:eastAsia="Times New Roman" w:cs="Times New Roman" w:asciiTheme="minorAscii" w:hAnsiTheme="minorAscii" w:eastAsiaTheme="minorAscii" w:cstheme="minorAscii"/>
          <w:noProof w:val="0"/>
          <w:color w:val="auto"/>
          <w:lang w:val="en-US"/>
        </w:rPr>
      </w:pPr>
    </w:p>
    <w:p w:rsidR="7A61ECE1" w:rsidP="40EE1397" w:rsidRDefault="7A61ECE1" w14:paraId="63EED85E" w14:textId="43465831">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0858C206">
        <w:rPr>
          <w:rFonts w:ascii="Times New Roman" w:hAnsi="Times New Roman" w:eastAsia="Times New Roman" w:cs="Times New Roman" w:asciiTheme="minorAscii" w:hAnsiTheme="minorAscii" w:eastAsiaTheme="minorAscii" w:cstheme="minorAscii"/>
          <w:noProof w:val="0"/>
          <w:color w:val="auto"/>
          <w:lang w:val="en-US"/>
        </w:rPr>
        <w:t>Gnanasekar.P</w:t>
      </w:r>
      <w:r w:rsidRPr="40EE1397" w:rsidR="0858C206">
        <w:rPr>
          <w:rFonts w:ascii="Times New Roman" w:hAnsi="Times New Roman" w:eastAsia="Times New Roman" w:cs="Times New Roman" w:asciiTheme="minorAscii" w:hAnsiTheme="minorAscii" w:eastAsiaTheme="minorAscii" w:cstheme="minorAscii"/>
          <w:noProof w:val="0"/>
          <w:color w:val="auto"/>
          <w:lang w:val="en-US"/>
        </w:rPr>
        <w:t xml:space="preserve">, </w:t>
      </w:r>
      <w:r w:rsidRPr="40EE1397" w:rsidR="0858C206">
        <w:rPr>
          <w:rFonts w:ascii="Times New Roman" w:hAnsi="Times New Roman" w:eastAsia="Times New Roman" w:cs="Times New Roman" w:asciiTheme="minorAscii" w:hAnsiTheme="minorAscii" w:eastAsiaTheme="minorAscii" w:cstheme="minorAscii"/>
          <w:noProof w:val="0"/>
          <w:color w:val="auto"/>
          <w:lang w:val="en-US"/>
        </w:rPr>
        <w:t>Gambhir</w:t>
      </w:r>
      <w:r w:rsidRPr="40EE1397" w:rsidR="0F05790D">
        <w:rPr>
          <w:rFonts w:ascii="Times New Roman" w:hAnsi="Times New Roman" w:eastAsia="Times New Roman" w:cs="Times New Roman" w:asciiTheme="minorAscii" w:hAnsiTheme="minorAscii" w:eastAsiaTheme="minorAscii" w:cstheme="minorAscii"/>
          <w:noProof w:val="0"/>
          <w:color w:val="auto"/>
          <w:lang w:val="en-US"/>
        </w:rPr>
        <w:t>.S</w:t>
      </w:r>
      <w:r w:rsidRPr="40EE1397" w:rsidR="0858C206">
        <w:rPr>
          <w:rFonts w:ascii="Times New Roman" w:hAnsi="Times New Roman" w:eastAsia="Times New Roman" w:cs="Times New Roman" w:asciiTheme="minorAscii" w:hAnsiTheme="minorAscii" w:eastAsiaTheme="minorAscii" w:cstheme="minorAscii"/>
          <w:noProof w:val="0"/>
          <w:color w:val="auto"/>
          <w:lang w:val="en-US"/>
        </w:rPr>
        <w:t xml:space="preserve">, </w:t>
      </w:r>
      <w:r w:rsidRPr="40EE1397" w:rsidR="0858C206">
        <w:rPr>
          <w:rFonts w:ascii="Times New Roman" w:hAnsi="Times New Roman" w:eastAsia="Times New Roman" w:cs="Times New Roman" w:asciiTheme="minorAscii" w:hAnsiTheme="minorAscii" w:eastAsiaTheme="minorAscii" w:cstheme="minorAscii"/>
          <w:noProof w:val="0"/>
          <w:color w:val="auto"/>
          <w:lang w:val="en-US"/>
        </w:rPr>
        <w:t>Kinatukara</w:t>
      </w:r>
      <w:r w:rsidRPr="40EE1397" w:rsidR="769BF3B3">
        <w:rPr>
          <w:rFonts w:ascii="Times New Roman" w:hAnsi="Times New Roman" w:eastAsia="Times New Roman" w:cs="Times New Roman" w:asciiTheme="minorAscii" w:hAnsiTheme="minorAscii" w:eastAsiaTheme="minorAscii" w:cstheme="minorAscii"/>
          <w:noProof w:val="0"/>
          <w:color w:val="auto"/>
          <w:lang w:val="en-US"/>
        </w:rPr>
        <w:t>.S</w:t>
      </w:r>
      <w:r w:rsidRPr="40EE1397" w:rsidR="3CAFE10B">
        <w:rPr>
          <w:rFonts w:ascii="Times New Roman" w:hAnsi="Times New Roman" w:eastAsia="Times New Roman" w:cs="Times New Roman" w:asciiTheme="minorAscii" w:hAnsiTheme="minorAscii" w:eastAsiaTheme="minorAscii" w:cstheme="minorAscii"/>
          <w:noProof w:val="0"/>
          <w:color w:val="auto"/>
          <w:lang w:val="en-US"/>
        </w:rPr>
        <w:t>,.</w:t>
      </w:r>
      <w:r w:rsidRPr="40EE1397" w:rsidR="2315FE87">
        <w:rPr>
          <w:rFonts w:ascii="Times New Roman" w:hAnsi="Times New Roman" w:eastAsia="Times New Roman" w:cs="Times New Roman" w:asciiTheme="minorAscii" w:hAnsiTheme="minorAscii" w:eastAsiaTheme="minorAscii" w:cstheme="minorAscii"/>
          <w:noProof w:val="0"/>
          <w:color w:val="auto"/>
          <w:lang w:val="en-US"/>
        </w:rPr>
        <w:t xml:space="preserve">et al. </w:t>
      </w:r>
      <w:r w:rsidRPr="40EE1397" w:rsidR="0858C206">
        <w:rPr>
          <w:rFonts w:ascii="Times New Roman" w:hAnsi="Times New Roman" w:eastAsia="Times New Roman" w:cs="Times New Roman" w:asciiTheme="minorAscii" w:hAnsiTheme="minorAscii" w:eastAsiaTheme="minorAscii" w:cstheme="minorAscii"/>
          <w:noProof w:val="0"/>
          <w:lang w:val="en-US"/>
        </w:rPr>
        <w:t xml:space="preserve">Functional (re)annotation of </w:t>
      </w:r>
      <w:r w:rsidRPr="40EE1397" w:rsidR="0858C206">
        <w:rPr>
          <w:rFonts w:ascii="Times New Roman" w:hAnsi="Times New Roman" w:eastAsia="Times New Roman" w:cs="Times New Roman" w:asciiTheme="minorAscii" w:hAnsiTheme="minorAscii" w:eastAsiaTheme="minorAscii" w:cstheme="minorAscii"/>
          <w:noProof w:val="0"/>
          <w:lang w:val="en-US"/>
        </w:rPr>
        <w:t>Mycobacteroides</w:t>
      </w:r>
      <w:r w:rsidRPr="40EE1397" w:rsidR="0858C206">
        <w:rPr>
          <w:rFonts w:ascii="Times New Roman" w:hAnsi="Times New Roman" w:eastAsia="Times New Roman" w:cs="Times New Roman" w:asciiTheme="minorAscii" w:hAnsiTheme="minorAscii" w:eastAsiaTheme="minorAscii" w:cstheme="minorAscii"/>
          <w:noProof w:val="0"/>
          <w:lang w:val="en-US"/>
        </w:rPr>
        <w:t xml:space="preserve"> abscessus proteome using integrative sequence and AI-based structural approaches,</w:t>
      </w:r>
      <w:r w:rsidRPr="40EE1397" w:rsidR="311ACC34">
        <w:rPr>
          <w:rFonts w:ascii="Times New Roman" w:hAnsi="Times New Roman" w:eastAsia="Times New Roman" w:cs="Times New Roman" w:asciiTheme="minorAscii" w:hAnsiTheme="minorAscii" w:eastAsiaTheme="minorAscii" w:cstheme="minorAscii"/>
          <w:noProof w:val="0"/>
          <w:lang w:val="en-US"/>
        </w:rPr>
        <w:t xml:space="preserve"> </w:t>
      </w:r>
      <w:r w:rsidRPr="40EE1397" w:rsidR="0858C206">
        <w:rPr>
          <w:rFonts w:ascii="Times New Roman" w:hAnsi="Times New Roman" w:eastAsia="Times New Roman" w:cs="Times New Roman" w:asciiTheme="minorAscii" w:hAnsiTheme="minorAscii" w:eastAsiaTheme="minorAscii" w:cstheme="minorAscii"/>
          <w:noProof w:val="0"/>
          <w:lang w:val="en-US"/>
        </w:rPr>
        <w:t xml:space="preserve">Current Research in Structural </w:t>
      </w:r>
      <w:r w:rsidRPr="40EE1397" w:rsidR="2E16CF62">
        <w:rPr>
          <w:rFonts w:ascii="Times New Roman" w:hAnsi="Times New Roman" w:eastAsia="Times New Roman" w:cs="Times New Roman" w:asciiTheme="minorAscii" w:hAnsiTheme="minorAscii" w:eastAsiaTheme="minorAscii" w:cstheme="minorAscii"/>
          <w:noProof w:val="0"/>
          <w:lang w:val="en-US"/>
        </w:rPr>
        <w:t>Biology, Volume</w:t>
      </w:r>
      <w:r w:rsidRPr="40EE1397" w:rsidR="0858C206">
        <w:rPr>
          <w:rFonts w:ascii="Times New Roman" w:hAnsi="Times New Roman" w:eastAsia="Times New Roman" w:cs="Times New Roman" w:asciiTheme="minorAscii" w:hAnsiTheme="minorAscii" w:eastAsiaTheme="minorAscii" w:cstheme="minorAscii"/>
          <w:noProof w:val="0"/>
          <w:lang w:val="en-US"/>
        </w:rPr>
        <w:t xml:space="preserve"> 10,</w:t>
      </w:r>
      <w:r w:rsidRPr="40EE1397" w:rsidR="0858C206">
        <w:rPr>
          <w:rFonts w:ascii="Times New Roman" w:hAnsi="Times New Roman" w:eastAsia="Times New Roman" w:cs="Times New Roman" w:asciiTheme="minorAscii" w:hAnsiTheme="minorAscii" w:eastAsiaTheme="minorAscii" w:cstheme="minorAscii"/>
          <w:noProof w:val="0"/>
          <w:lang w:val="en-US"/>
        </w:rPr>
        <w:t>2025,</w:t>
      </w:r>
      <w:r w:rsidRPr="40EE1397" w:rsidR="015A6B38">
        <w:rPr>
          <w:rFonts w:ascii="Times New Roman" w:hAnsi="Times New Roman" w:eastAsia="Times New Roman" w:cs="Times New Roman" w:asciiTheme="minorAscii" w:hAnsiTheme="minorAscii" w:eastAsiaTheme="minorAscii" w:cstheme="minorAscii"/>
          <w:noProof w:val="0"/>
          <w:lang w:val="en-US"/>
        </w:rPr>
        <w:t>100172, ISSN</w:t>
      </w:r>
      <w:r w:rsidRPr="40EE1397" w:rsidR="0858C206">
        <w:rPr>
          <w:rFonts w:ascii="Times New Roman" w:hAnsi="Times New Roman" w:eastAsia="Times New Roman" w:cs="Times New Roman" w:asciiTheme="minorAscii" w:hAnsiTheme="minorAscii" w:eastAsiaTheme="minorAscii" w:cstheme="minorAscii"/>
          <w:noProof w:val="0"/>
          <w:lang w:val="en-US"/>
        </w:rPr>
        <w:t xml:space="preserve"> 2665-928X,</w:t>
      </w:r>
      <w:r w:rsidRPr="40EE1397" w:rsidR="3A71E8FB">
        <w:rPr>
          <w:rFonts w:ascii="Times New Roman" w:hAnsi="Times New Roman" w:eastAsia="Times New Roman" w:cs="Times New Roman" w:asciiTheme="minorAscii" w:hAnsiTheme="minorAscii" w:eastAsiaTheme="minorAscii" w:cstheme="minorAscii"/>
          <w:noProof w:val="0"/>
          <w:lang w:val="en-US"/>
        </w:rPr>
        <w:t xml:space="preserve"> </w:t>
      </w:r>
      <w:hyperlink r:id="Redf7e2b989424436">
        <w:r w:rsidRPr="40EE1397" w:rsidR="0858C206">
          <w:rPr>
            <w:rStyle w:val="Hyperlink"/>
            <w:rFonts w:ascii="Times New Roman" w:hAnsi="Times New Roman" w:eastAsia="Times New Roman" w:cs="Times New Roman" w:asciiTheme="minorAscii" w:hAnsiTheme="minorAscii" w:eastAsiaTheme="minorAscii" w:cstheme="minorAscii"/>
            <w:noProof w:val="0"/>
            <w:lang w:val="en-US"/>
          </w:rPr>
          <w:t>https://doi.org/10.1016/j.crstbi.2025.100172</w:t>
        </w:r>
      </w:hyperlink>
      <w:r w:rsidRPr="40EE1397" w:rsidR="0858C206">
        <w:rPr>
          <w:rFonts w:ascii="Times New Roman" w:hAnsi="Times New Roman" w:eastAsia="Times New Roman" w:cs="Times New Roman" w:asciiTheme="minorAscii" w:hAnsiTheme="minorAscii" w:eastAsiaTheme="minorAscii" w:cstheme="minorAscii"/>
          <w:noProof w:val="0"/>
          <w:lang w:val="en-US"/>
        </w:rPr>
        <w:t>.</w:t>
      </w:r>
    </w:p>
    <w:p w:rsidR="407B6502" w:rsidP="40EE1397" w:rsidRDefault="407B6502" w14:paraId="54A10353" w14:textId="365C4EBB">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63F30DF6" w:rsidP="20706DFE" w:rsidRDefault="63F30DF6" w14:paraId="0D9EA96B" w14:textId="641C25B7">
      <w:pPr>
        <w:pStyle w:val="ListParagraph"/>
        <w:numPr>
          <w:ilvl w:val="0"/>
          <w:numId w:val="1"/>
        </w:num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0EE1397" w:rsidR="669032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Bae D, Kim M, Seo J, et al. AI-guided </w:t>
      </w:r>
      <w:r w:rsidRPr="40EE1397" w:rsidR="669032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discovery</w:t>
      </w:r>
      <w:r w:rsidRPr="40EE1397" w:rsidR="669032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optimization of antimicrobial peptides through species-aware language model, </w:t>
      </w:r>
      <w:r w:rsidRPr="40EE1397" w:rsidR="669032C6">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Briefings in Bioinformatics</w:t>
      </w:r>
      <w:r w:rsidRPr="40EE1397" w:rsidR="669032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Volume 26, Issue 4, July 2025, bbaf343</w:t>
      </w:r>
      <w:r w:rsidRPr="40EE1397" w:rsidR="669032C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r w:rsidRPr="40EE1397" w:rsidR="4E1821C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hyperlink r:id="R901f6ebe151d40c3">
        <w:r w:rsidRPr="40EE1397" w:rsidR="669032C6">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https://doi.org/10.1093/bib/bbaf343</w:t>
        </w:r>
        <w:r w:rsidRPr="40EE1397" w:rsidR="1505F21B">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w:t>
        </w:r>
      </w:hyperlink>
    </w:p>
    <w:p w:rsidR="20706DFE" w:rsidP="20706DFE" w:rsidRDefault="20706DFE" w14:paraId="489D2B1F" w14:textId="4413C47C">
      <w:pPr>
        <w:pStyle w:val="ListParagraph"/>
        <w:ind w:left="720"/>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438018A0" w:rsidP="57AF9593" w:rsidRDefault="438018A0" w14:paraId="560F6717" w14:textId="5FD9DD09">
      <w:pPr>
        <w:pStyle w:val="ListParagraph"/>
        <w:numPr>
          <w:ilvl w:val="0"/>
          <w:numId w:val="1"/>
        </w:numPr>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0EE1397" w:rsidR="4BF6759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Aggarwal RV, Shah N, Wong JJE, Dajani Z. Artificial Intelligence for Antimicrobial Resistance Detection and Prediction in Klebsiella pneumoniae: A Systematic Review of Clinical Microbiology Applications. </w:t>
      </w:r>
      <w:r w:rsidRPr="40EE1397" w:rsidR="4BF6759F">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Infect Drug Resist</w:t>
      </w:r>
      <w:r w:rsidRPr="40EE1397" w:rsidR="4BF6759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2026;19:614240</w:t>
      </w:r>
      <w:r>
        <w:br/>
      </w:r>
      <w:hyperlink r:id="R934561bae1724f9f">
        <w:r w:rsidRPr="40EE1397" w:rsidR="4BF6759F">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lang w:val="en-US"/>
          </w:rPr>
          <w:t>https://doi.org/10.2147/IDR.S614240</w:t>
        </w:r>
      </w:hyperlink>
      <w:r w:rsidRPr="40EE1397" w:rsidR="4BF6759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p>
    <w:p w:rsidR="57AF9593" w:rsidP="57AF9593" w:rsidRDefault="57AF9593" w14:paraId="4906B8A8" w14:textId="582CB06B">
      <w:pPr>
        <w:pStyle w:val="ListParagraph"/>
        <w:ind w:left="720"/>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557493F4" w:rsidP="57AF9593" w:rsidRDefault="557493F4" w14:paraId="4E7627E8" w14:textId="3C13D302">
      <w:pPr>
        <w:pStyle w:val="ListParagraph"/>
        <w:numPr>
          <w:ilvl w:val="0"/>
          <w:numId w:val="1"/>
        </w:numP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57AF9593" w:rsidR="557493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D. Chen, G. Liu, H. Du, et al. </w:t>
      </w:r>
      <w:r w:rsidRPr="57AF9593" w:rsidR="557493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Drug</w:t>
      </w:r>
      <w:r w:rsidRPr="57AF9593" w:rsidR="557493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Resistance Predictions Based on a Directed Flag Transformer.” </w:t>
      </w:r>
      <w:r w:rsidRPr="57AF9593" w:rsidR="557493F4">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Adv. Sci.</w:t>
      </w:r>
      <w:r w:rsidRPr="57AF9593" w:rsidR="557493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12, no. 36 (2025): e02756.</w:t>
      </w:r>
    </w:p>
    <w:p w:rsidR="557493F4" w:rsidP="40EE1397" w:rsidRDefault="557493F4" w14:paraId="42A54CEC" w14:textId="6D477314">
      <w:pPr>
        <w:pStyle w:val="ListParagraph"/>
        <w:ind w:left="720"/>
        <w:rPr>
          <w:rFonts w:ascii="Times New Roman" w:hAnsi="Times New Roman" w:eastAsia="Times New Roman" w:cs="Times New Roman" w:asciiTheme="minorAscii" w:hAnsiTheme="minorAscii" w:eastAsiaTheme="minorAscii" w:cstheme="minorAscii"/>
        </w:rPr>
      </w:pPr>
      <w:hyperlink r:id="Rf03d172b4dc94058">
        <w:r w:rsidRPr="40EE1397" w:rsidR="770A06CA">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t>https://doi.org/10.1002/advs.202502756.</w:t>
        </w:r>
      </w:hyperlink>
    </w:p>
    <w:p w:rsidR="57AF9593" w:rsidP="40EE1397" w:rsidRDefault="57AF9593" w14:paraId="24E97913" w14:textId="5005FC5B">
      <w:pPr>
        <w:pStyle w:val="ListParagraph"/>
        <w:ind w:left="72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w:rsidR="557493F4" w:rsidP="57AF9593" w:rsidRDefault="557493F4" w14:paraId="71EA3504" w14:textId="1F993F0D">
      <w:pPr>
        <w:pStyle w:val="ListParagraph"/>
        <w:numPr>
          <w:ilvl w:val="0"/>
          <w:numId w:val="1"/>
        </w:numPr>
        <w:rPr>
          <w:rFonts w:ascii="Times New Roman" w:hAnsi="Times New Roman" w:eastAsia="Times New Roman" w:cs="Times New Roman" w:asciiTheme="minorAscii" w:hAnsiTheme="minorAscii" w:eastAsiaTheme="minorAscii" w:cstheme="minorAscii"/>
          <w:noProof w:val="0"/>
          <w:color w:val="auto"/>
          <w:lang w:val="en-US"/>
        </w:rPr>
      </w:pP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Alqarni, M. H., Alam, A., Saad Al Oraby, M., &amp; </w:t>
      </w: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Foudah</w:t>
      </w: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 I. (2026). Identification of potential therapeutics by targeting </w:t>
      </w: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AcrB</w:t>
      </w: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protein from </w:t>
      </w: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AcrAB-TolC</w:t>
      </w: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multidrug efflux pump of </w:t>
      </w:r>
      <w:r w:rsidRPr="40EE1397" w:rsidR="770A06CA">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Escherichia coli</w:t>
      </w: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 in-silico exploration. </w:t>
      </w:r>
      <w:r w:rsidRPr="40EE1397" w:rsidR="770A06CA">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Journal of Biomolecular Structure and Dynamics</w:t>
      </w: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40EE1397" w:rsidR="770A06CA">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44</w:t>
      </w:r>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(4), 2081–2096. </w:t>
      </w:r>
      <w:hyperlink r:id="R9256651d5c834d92">
        <w:r w:rsidRPr="40EE1397" w:rsidR="770A06CA">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lang w:val="en-US"/>
          </w:rPr>
          <w:t>https://doi.org/10.1080/07391102.2025.2487203</w:t>
        </w:r>
      </w:hyperlink>
      <w:r w:rsidRPr="40EE1397" w:rsidR="770A06C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t>
      </w:r>
    </w:p>
    <w:p w:rsidR="57AF9593" w:rsidP="57AF9593" w:rsidRDefault="57AF9593" w14:paraId="3A37F504" w14:textId="5D29B5B7">
      <w:pPr>
        <w:pStyle w:val="ListParagraph"/>
        <w:ind w:left="720"/>
        <w:rPr>
          <w:rFonts w:ascii="Times New Roman" w:hAnsi="Times New Roman" w:eastAsia="Times New Roman" w:cs="Times New Roman" w:asciiTheme="minorAscii" w:hAnsiTheme="minorAscii" w:eastAsiaTheme="minorAscii" w:cstheme="minorAscii"/>
          <w:noProof w:val="0"/>
          <w:color w:val="auto"/>
          <w:lang w:val="en-US"/>
        </w:rPr>
      </w:pPr>
    </w:p>
    <w:p w:rsidR="6C3F5E6C" w:rsidP="57AF9593" w:rsidRDefault="6C3F5E6C" w14:paraId="0B199511" w14:textId="496741DD">
      <w:pPr>
        <w:pStyle w:val="ListParagraph"/>
        <w:numPr>
          <w:ilvl w:val="0"/>
          <w:numId w:val="1"/>
        </w:numPr>
        <w:rPr>
          <w:rFonts w:ascii="Times New Roman" w:hAnsi="Times New Roman" w:eastAsia="Times New Roman" w:cs="Times New Roman" w:asciiTheme="minorAscii" w:hAnsiTheme="minorAscii" w:eastAsiaTheme="minorAscii" w:cstheme="minorAscii"/>
          <w:noProof w:val="0"/>
          <w:color w:val="auto"/>
          <w:lang w:val="en-US"/>
        </w:rPr>
      </w:pPr>
      <w:r w:rsidRPr="57AF9593" w:rsidR="6C3F5E6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Nguyen H-A, Peleg AY, Song J, Antony B, Webb GI, Wisniewski JA, Blakeway LV, Badoordeen GZ, Theegala R, Zisis H, Dowe DL, Macesic N. Predicting </w:t>
      </w:r>
      <w:r w:rsidRPr="57AF9593" w:rsidR="6C3F5E6C">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auto"/>
          <w:sz w:val="24"/>
          <w:szCs w:val="24"/>
          <w:lang w:val="en-US"/>
        </w:rPr>
        <w:t>Pseudomonas aeruginosa</w:t>
      </w:r>
      <w:r w:rsidRPr="57AF9593" w:rsidR="6C3F5E6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drug resistance using artificial intelligence and clinical MALDI-TOF mass spectra. mSystems. 2024 Sep 17;9(9):e0078924. doi: 10.1128/msystems.00789-24. Epub 2024 Aug 16. PMID: 39150244; PMCID: PMC11406958.</w:t>
      </w:r>
    </w:p>
    <w:p w:rsidR="57AF9593" w:rsidP="57AF9593" w:rsidRDefault="57AF9593" w14:paraId="02169125" w14:textId="3BF810DA">
      <w:pPr>
        <w:pStyle w:val="ListParagraph"/>
        <w:ind w:left="720"/>
        <w:rPr>
          <w:rFonts w:ascii="Times New Roman" w:hAnsi="Times New Roman" w:eastAsia="Times New Roman" w:cs="Times New Roman" w:asciiTheme="minorAscii" w:hAnsiTheme="minorAscii" w:eastAsiaTheme="minorAscii" w:cstheme="minorAscii"/>
          <w:noProof w:val="0"/>
          <w:color w:val="auto"/>
          <w:lang w:val="en-US"/>
        </w:rPr>
      </w:pPr>
    </w:p>
    <w:p w:rsidR="57AF9593" w:rsidP="40EE1397" w:rsidRDefault="57AF9593" w14:paraId="41145D88" w14:textId="77D873FA">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Nakashima, R., Sakurai, K., Yamasaki, S., Hayashi, K., Nagata, C., Hoshino, K., Onodera, Y., Nishino, K., &amp; Yamaguchi, A. (2013). Structural basis for the inhibition of bacterial multidrug exporters. </w:t>
      </w:r>
      <w:r w:rsidRPr="40EE1397" w:rsidR="254CF072">
        <w:rPr>
          <w:rFonts w:ascii="Times New Roman" w:hAnsi="Times New Roman" w:eastAsia="Times New Roman" w:cs="Times New Roman" w:asciiTheme="minorAscii" w:hAnsiTheme="minorAscii" w:eastAsiaTheme="minorAscii" w:cstheme="minorAscii"/>
          <w:i w:val="1"/>
          <w:iCs w:val="1"/>
          <w:noProof w:val="0"/>
          <w:lang w:val="en-US"/>
        </w:rPr>
        <w:t>Nature, 500</w:t>
      </w:r>
      <w:r w:rsidRPr="40EE1397" w:rsidR="254CF072">
        <w:rPr>
          <w:rFonts w:ascii="Times New Roman" w:hAnsi="Times New Roman" w:eastAsia="Times New Roman" w:cs="Times New Roman" w:asciiTheme="minorAscii" w:hAnsiTheme="minorAscii" w:eastAsiaTheme="minorAscii" w:cstheme="minorAscii"/>
          <w:noProof w:val="0"/>
          <w:lang w:val="en-US"/>
        </w:rPr>
        <w:t>, 102–106.</w:t>
      </w:r>
      <w:r>
        <w:br/>
      </w: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 </w:t>
      </w:r>
      <w:hyperlink r:id="R01b9e1d11efa4539">
        <w:r w:rsidRPr="40EE1397" w:rsidR="254CF072">
          <w:rPr>
            <w:rStyle w:val="Hyperlink"/>
            <w:rFonts w:ascii="Times New Roman" w:hAnsi="Times New Roman" w:eastAsia="Times New Roman" w:cs="Times New Roman" w:asciiTheme="minorAscii" w:hAnsiTheme="minorAscii" w:eastAsiaTheme="minorAscii" w:cstheme="minorAscii"/>
            <w:noProof w:val="0"/>
            <w:lang w:val="en-US"/>
          </w:rPr>
          <w:t>https://doi.org/10.1038/nature12300</w:t>
        </w:r>
      </w:hyperlink>
    </w:p>
    <w:p w:rsidR="40EE1397" w:rsidP="40EE1397" w:rsidRDefault="40EE1397" w14:paraId="328DAC79" w14:textId="7D5E6601">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254CF072" w:rsidP="40EE1397" w:rsidRDefault="254CF072" w14:paraId="20702974" w14:textId="710D3BD1">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Berman, H. M., Westbrook, J., Feng, Z., et al. (2000). The Protein Data Bank. </w:t>
      </w:r>
      <w:r w:rsidRPr="40EE1397" w:rsidR="254CF072">
        <w:rPr>
          <w:rFonts w:ascii="Times New Roman" w:hAnsi="Times New Roman" w:eastAsia="Times New Roman" w:cs="Times New Roman" w:asciiTheme="minorAscii" w:hAnsiTheme="minorAscii" w:eastAsiaTheme="minorAscii" w:cstheme="minorAscii"/>
          <w:i w:val="1"/>
          <w:iCs w:val="1"/>
          <w:noProof w:val="0"/>
          <w:lang w:val="en-US"/>
        </w:rPr>
        <w:t>Nucleic Acids Research, 28</w:t>
      </w:r>
      <w:r w:rsidRPr="40EE1397" w:rsidR="254CF072">
        <w:rPr>
          <w:rFonts w:ascii="Times New Roman" w:hAnsi="Times New Roman" w:eastAsia="Times New Roman" w:cs="Times New Roman" w:asciiTheme="minorAscii" w:hAnsiTheme="minorAscii" w:eastAsiaTheme="minorAscii" w:cstheme="minorAscii"/>
          <w:noProof w:val="0"/>
          <w:lang w:val="en-US"/>
        </w:rPr>
        <w:t>(1), 235–242.</w:t>
      </w:r>
      <w:r>
        <w:br/>
      </w: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 </w:t>
      </w:r>
      <w:hyperlink r:id="R10d70b45c3c94d2e">
        <w:r w:rsidRPr="40EE1397" w:rsidR="254CF072">
          <w:rPr>
            <w:rStyle w:val="Hyperlink"/>
            <w:rFonts w:ascii="Times New Roman" w:hAnsi="Times New Roman" w:eastAsia="Times New Roman" w:cs="Times New Roman" w:asciiTheme="minorAscii" w:hAnsiTheme="minorAscii" w:eastAsiaTheme="minorAscii" w:cstheme="minorAscii"/>
            <w:noProof w:val="0"/>
            <w:lang w:val="en-US"/>
          </w:rPr>
          <w:t>https://doi.org/10.1093/nar/28.1.235</w:t>
        </w:r>
      </w:hyperlink>
    </w:p>
    <w:p w:rsidR="40EE1397" w:rsidP="40EE1397" w:rsidRDefault="40EE1397" w14:paraId="0BD6E71A" w14:textId="4FF55281">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254CF072" w:rsidP="40EE1397" w:rsidRDefault="254CF072" w14:paraId="1E643671" w14:textId="7CDB7474">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Murakami, S., Nakashima, R., Yamashita, E., &amp; Yamaguchi, A. (2006). Crystal structures of a multidrug transporter reveal a functionally rotating mechanism. </w:t>
      </w:r>
      <w:r w:rsidRPr="40EE1397" w:rsidR="254CF072">
        <w:rPr>
          <w:rFonts w:ascii="Times New Roman" w:hAnsi="Times New Roman" w:eastAsia="Times New Roman" w:cs="Times New Roman" w:asciiTheme="minorAscii" w:hAnsiTheme="minorAscii" w:eastAsiaTheme="minorAscii" w:cstheme="minorAscii"/>
          <w:i w:val="1"/>
          <w:iCs w:val="1"/>
          <w:noProof w:val="0"/>
          <w:lang w:val="en-US"/>
        </w:rPr>
        <w:t>Nature, 443</w:t>
      </w:r>
      <w:r w:rsidRPr="40EE1397" w:rsidR="254CF072">
        <w:rPr>
          <w:rFonts w:ascii="Times New Roman" w:hAnsi="Times New Roman" w:eastAsia="Times New Roman" w:cs="Times New Roman" w:asciiTheme="minorAscii" w:hAnsiTheme="minorAscii" w:eastAsiaTheme="minorAscii" w:cstheme="minorAscii"/>
          <w:noProof w:val="0"/>
          <w:lang w:val="en-US"/>
        </w:rPr>
        <w:t>, 173–179.</w:t>
      </w:r>
      <w:r>
        <w:br/>
      </w: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 </w:t>
      </w:r>
      <w:hyperlink r:id="R294c73767d8b4985">
        <w:r w:rsidRPr="40EE1397" w:rsidR="254CF072">
          <w:rPr>
            <w:rStyle w:val="Hyperlink"/>
            <w:rFonts w:ascii="Times New Roman" w:hAnsi="Times New Roman" w:eastAsia="Times New Roman" w:cs="Times New Roman" w:asciiTheme="minorAscii" w:hAnsiTheme="minorAscii" w:eastAsiaTheme="minorAscii" w:cstheme="minorAscii"/>
            <w:noProof w:val="0"/>
            <w:lang w:val="en-US"/>
          </w:rPr>
          <w:t>https://doi.org/10.1038/nature05076</w:t>
        </w:r>
      </w:hyperlink>
    </w:p>
    <w:p w:rsidR="40EE1397" w:rsidP="40EE1397" w:rsidRDefault="40EE1397" w14:paraId="6E7123BB" w14:textId="21053536">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254CF072" w:rsidP="40EE1397" w:rsidRDefault="254CF072" w14:paraId="5D764686" w14:textId="6B077850">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Seeger, M. A., Schiefner, A., Eicher, T., Verrey, F., Diederichs, K., &amp; Pos, K. M. (2006). Structural asymmetry of AcrB trimer suggests a peristaltic pump mechanism. </w:t>
      </w:r>
      <w:r w:rsidRPr="40EE1397" w:rsidR="254CF072">
        <w:rPr>
          <w:rFonts w:ascii="Times New Roman" w:hAnsi="Times New Roman" w:eastAsia="Times New Roman" w:cs="Times New Roman" w:asciiTheme="minorAscii" w:hAnsiTheme="minorAscii" w:eastAsiaTheme="minorAscii" w:cstheme="minorAscii"/>
          <w:i w:val="1"/>
          <w:iCs w:val="1"/>
          <w:noProof w:val="0"/>
          <w:lang w:val="en-US"/>
        </w:rPr>
        <w:t>Science, 313</w:t>
      </w:r>
      <w:r w:rsidRPr="40EE1397" w:rsidR="254CF072">
        <w:rPr>
          <w:rFonts w:ascii="Times New Roman" w:hAnsi="Times New Roman" w:eastAsia="Times New Roman" w:cs="Times New Roman" w:asciiTheme="minorAscii" w:hAnsiTheme="minorAscii" w:eastAsiaTheme="minorAscii" w:cstheme="minorAscii"/>
          <w:noProof w:val="0"/>
          <w:lang w:val="en-US"/>
        </w:rPr>
        <w:t>, 1295–1298.</w:t>
      </w:r>
    </w:p>
    <w:p w:rsidR="40EE1397" w:rsidP="40EE1397" w:rsidRDefault="40EE1397" w14:paraId="0835F647" w14:textId="291C5650">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254CF072" w:rsidP="40EE1397" w:rsidRDefault="254CF072" w14:paraId="25B0A806" w14:textId="3244DA14">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Krivák, R., &amp; Hoksza, D. (2018). P2Rank: machine learning based tool for rapid and accurate prediction of ligand binding sites from protein structure. </w:t>
      </w:r>
      <w:r w:rsidRPr="40EE1397" w:rsidR="254CF072">
        <w:rPr>
          <w:rFonts w:ascii="Times New Roman" w:hAnsi="Times New Roman" w:eastAsia="Times New Roman" w:cs="Times New Roman" w:asciiTheme="minorAscii" w:hAnsiTheme="minorAscii" w:eastAsiaTheme="minorAscii" w:cstheme="minorAscii"/>
          <w:i w:val="1"/>
          <w:iCs w:val="1"/>
          <w:noProof w:val="0"/>
          <w:lang w:val="en-US"/>
        </w:rPr>
        <w:t>Journal of Cheminformatics, 10</w:t>
      </w:r>
      <w:r w:rsidRPr="40EE1397" w:rsidR="254CF072">
        <w:rPr>
          <w:rFonts w:ascii="Times New Roman" w:hAnsi="Times New Roman" w:eastAsia="Times New Roman" w:cs="Times New Roman" w:asciiTheme="minorAscii" w:hAnsiTheme="minorAscii" w:eastAsiaTheme="minorAscii" w:cstheme="minorAscii"/>
          <w:noProof w:val="0"/>
          <w:lang w:val="en-US"/>
        </w:rPr>
        <w:t>, 39.</w:t>
      </w:r>
      <w:r>
        <w:br/>
      </w: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 </w:t>
      </w:r>
      <w:hyperlink r:id="R2f9c22adb95a4da3">
        <w:r w:rsidRPr="40EE1397" w:rsidR="254CF072">
          <w:rPr>
            <w:rStyle w:val="Hyperlink"/>
            <w:rFonts w:ascii="Times New Roman" w:hAnsi="Times New Roman" w:eastAsia="Times New Roman" w:cs="Times New Roman" w:asciiTheme="minorAscii" w:hAnsiTheme="minorAscii" w:eastAsiaTheme="minorAscii" w:cstheme="minorAscii"/>
            <w:noProof w:val="0"/>
            <w:lang w:val="en-US"/>
          </w:rPr>
          <w:t>https://doi.org/10.1186/s13321-018-0285-8</w:t>
        </w:r>
      </w:hyperlink>
    </w:p>
    <w:p w:rsidR="40EE1397" w:rsidP="40EE1397" w:rsidRDefault="40EE1397" w14:paraId="196046F9" w14:textId="374BC057">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254CF072" w:rsidP="40EE1397" w:rsidRDefault="254CF072" w14:paraId="4115B397" w14:textId="5F22E018">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Eberhardt, J., Santos-Martins, D., Tillack, A. F., &amp; Forli, S. (2021). AutoDock Vina 1.2.0: New docking methods, expanded force field, and Python bindings. </w:t>
      </w:r>
      <w:r w:rsidRPr="40EE1397" w:rsidR="254CF072">
        <w:rPr>
          <w:rFonts w:ascii="Times New Roman" w:hAnsi="Times New Roman" w:eastAsia="Times New Roman" w:cs="Times New Roman" w:asciiTheme="minorAscii" w:hAnsiTheme="minorAscii" w:eastAsiaTheme="minorAscii" w:cstheme="minorAscii"/>
          <w:i w:val="1"/>
          <w:iCs w:val="1"/>
          <w:noProof w:val="0"/>
          <w:lang w:val="en-US"/>
        </w:rPr>
        <w:t>Journal of Chemical Information and Modeling, 61</w:t>
      </w:r>
      <w:r w:rsidRPr="40EE1397" w:rsidR="254CF072">
        <w:rPr>
          <w:rFonts w:ascii="Times New Roman" w:hAnsi="Times New Roman" w:eastAsia="Times New Roman" w:cs="Times New Roman" w:asciiTheme="minorAscii" w:hAnsiTheme="minorAscii" w:eastAsiaTheme="minorAscii" w:cstheme="minorAscii"/>
          <w:noProof w:val="0"/>
          <w:lang w:val="en-US"/>
        </w:rPr>
        <w:t>(8), 3891–3908.</w:t>
      </w:r>
      <w:r>
        <w:br/>
      </w: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 </w:t>
      </w:r>
      <w:hyperlink r:id="R897f309c4dfa4729">
        <w:r w:rsidRPr="40EE1397" w:rsidR="254CF072">
          <w:rPr>
            <w:rStyle w:val="Hyperlink"/>
            <w:rFonts w:ascii="Times New Roman" w:hAnsi="Times New Roman" w:eastAsia="Times New Roman" w:cs="Times New Roman" w:asciiTheme="minorAscii" w:hAnsiTheme="minorAscii" w:eastAsiaTheme="minorAscii" w:cstheme="minorAscii"/>
            <w:noProof w:val="0"/>
            <w:lang w:val="en-US"/>
          </w:rPr>
          <w:t>https://doi.org/10.1021/acs.jcim.1c00203</w:t>
        </w:r>
      </w:hyperlink>
    </w:p>
    <w:p w:rsidR="40EE1397" w:rsidP="40EE1397" w:rsidRDefault="40EE1397" w14:paraId="60660A6C" w14:textId="4F54CDFF">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254CF072" w:rsidP="40EE1397" w:rsidRDefault="254CF072" w14:paraId="32EF8E5B" w14:textId="045BFB22">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Pettersen, E. F., Goddard, T. D., Huang, C. C., et al. (2021). UCSF ChimeraX: Structure visualization program. </w:t>
      </w:r>
      <w:r w:rsidRPr="40EE1397" w:rsidR="254CF072">
        <w:rPr>
          <w:rFonts w:ascii="Times New Roman" w:hAnsi="Times New Roman" w:eastAsia="Times New Roman" w:cs="Times New Roman" w:asciiTheme="minorAscii" w:hAnsiTheme="minorAscii" w:eastAsiaTheme="minorAscii" w:cstheme="minorAscii"/>
          <w:i w:val="1"/>
          <w:iCs w:val="1"/>
          <w:noProof w:val="0"/>
          <w:lang w:val="en-US"/>
        </w:rPr>
        <w:t>Protein Science, 30</w:t>
      </w:r>
      <w:r w:rsidRPr="40EE1397" w:rsidR="254CF072">
        <w:rPr>
          <w:rFonts w:ascii="Times New Roman" w:hAnsi="Times New Roman" w:eastAsia="Times New Roman" w:cs="Times New Roman" w:asciiTheme="minorAscii" w:hAnsiTheme="minorAscii" w:eastAsiaTheme="minorAscii" w:cstheme="minorAscii"/>
          <w:noProof w:val="0"/>
          <w:lang w:val="en-US"/>
        </w:rPr>
        <w:t>(1), 70–82.</w:t>
      </w:r>
      <w:r>
        <w:br/>
      </w:r>
      <w:r w:rsidRPr="40EE1397" w:rsidR="254CF072">
        <w:rPr>
          <w:rFonts w:ascii="Times New Roman" w:hAnsi="Times New Roman" w:eastAsia="Times New Roman" w:cs="Times New Roman" w:asciiTheme="minorAscii" w:hAnsiTheme="minorAscii" w:eastAsiaTheme="minorAscii" w:cstheme="minorAscii"/>
          <w:noProof w:val="0"/>
          <w:lang w:val="en-US"/>
        </w:rPr>
        <w:t xml:space="preserve"> </w:t>
      </w:r>
      <w:hyperlink r:id="Rd8d381c012934726">
        <w:r w:rsidRPr="40EE1397" w:rsidR="254CF072">
          <w:rPr>
            <w:rStyle w:val="Hyperlink"/>
            <w:rFonts w:ascii="Times New Roman" w:hAnsi="Times New Roman" w:eastAsia="Times New Roman" w:cs="Times New Roman" w:asciiTheme="minorAscii" w:hAnsiTheme="minorAscii" w:eastAsiaTheme="minorAscii" w:cstheme="minorAscii"/>
            <w:noProof w:val="0"/>
            <w:lang w:val="en-US"/>
          </w:rPr>
          <w:t>https://doi.org/10.1002/pro.3943</w:t>
        </w:r>
      </w:hyperlink>
    </w:p>
    <w:p w:rsidR="40EE1397" w:rsidP="40EE1397" w:rsidRDefault="40EE1397" w14:paraId="18C2EF52" w14:textId="756E216C">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2026FF48" w:rsidP="40EE1397" w:rsidRDefault="2026FF48" w14:paraId="5842BF84" w14:textId="12F8C46C">
      <w:pPr>
        <w:pStyle w:val="ListParagraph"/>
        <w:numPr>
          <w:ilvl w:val="0"/>
          <w:numId w:val="1"/>
        </w:numPr>
        <w:rPr>
          <w:rFonts w:ascii="Times New Roman" w:hAnsi="Times New Roman" w:eastAsia="Times New Roman" w:cs="Times New Roman" w:asciiTheme="minorAscii" w:hAnsiTheme="minorAscii" w:eastAsiaTheme="minorAscii" w:cstheme="minorAscii"/>
          <w:noProof w:val="0"/>
          <w:lang w:val="en-US"/>
        </w:rPr>
      </w:pPr>
      <w:r w:rsidRPr="40EE1397" w:rsidR="2026FF48">
        <w:rPr>
          <w:rFonts w:ascii="Times New Roman" w:hAnsi="Times New Roman" w:eastAsia="Times New Roman" w:cs="Times New Roman" w:asciiTheme="minorAscii" w:hAnsiTheme="minorAscii" w:eastAsiaTheme="minorAscii" w:cstheme="minorAscii"/>
          <w:b w:val="0"/>
          <w:bCs w:val="0"/>
          <w:noProof w:val="0"/>
          <w:lang w:val="en-US"/>
        </w:rPr>
        <w:t>Nakashima, R., Sakurai, K., Yamasaki, S., Hayashi, K., Nagata, C., Hoshino, K., Onodera, Y., Nishino, K., &amp; Yamaguchi, A. (2013).</w:t>
      </w:r>
      <w:r w:rsidRPr="40EE1397" w:rsidR="2026FF48">
        <w:rPr>
          <w:rFonts w:ascii="Times New Roman" w:hAnsi="Times New Roman" w:eastAsia="Times New Roman" w:cs="Times New Roman" w:asciiTheme="minorAscii" w:hAnsiTheme="minorAscii" w:eastAsiaTheme="minorAscii" w:cstheme="minorAscii"/>
          <w:b w:val="0"/>
          <w:bCs w:val="0"/>
          <w:noProof w:val="0"/>
          <w:lang w:val="en-US"/>
        </w:rPr>
        <w:t xml:space="preserve"> Structural basis for the inhibition of bacterial multidrug exporters. </w:t>
      </w:r>
      <w:r w:rsidRPr="40EE1397" w:rsidR="2026FF48">
        <w:rPr>
          <w:rFonts w:ascii="Times New Roman" w:hAnsi="Times New Roman" w:eastAsia="Times New Roman" w:cs="Times New Roman" w:asciiTheme="minorAscii" w:hAnsiTheme="minorAscii" w:eastAsiaTheme="minorAscii" w:cstheme="minorAscii"/>
          <w:b w:val="0"/>
          <w:bCs w:val="0"/>
          <w:i w:val="1"/>
          <w:iCs w:val="1"/>
          <w:noProof w:val="0"/>
          <w:lang w:val="en-US"/>
        </w:rPr>
        <w:t>Nature, 500</w:t>
      </w:r>
      <w:r w:rsidRPr="40EE1397" w:rsidR="2026FF48">
        <w:rPr>
          <w:rFonts w:ascii="Times New Roman" w:hAnsi="Times New Roman" w:eastAsia="Times New Roman" w:cs="Times New Roman" w:asciiTheme="minorAscii" w:hAnsiTheme="minorAscii" w:eastAsiaTheme="minorAscii" w:cstheme="minorAscii"/>
          <w:b w:val="0"/>
          <w:bCs w:val="0"/>
          <w:noProof w:val="0"/>
          <w:lang w:val="en-US"/>
        </w:rPr>
        <w:t>, 102–106.</w:t>
      </w:r>
      <w:r>
        <w:br/>
      </w:r>
      <w:r w:rsidRPr="40EE1397" w:rsidR="2026FF48">
        <w:rPr>
          <w:rFonts w:ascii="Times New Roman" w:hAnsi="Times New Roman" w:eastAsia="Times New Roman" w:cs="Times New Roman" w:asciiTheme="minorAscii" w:hAnsiTheme="minorAscii" w:eastAsiaTheme="minorAscii" w:cstheme="minorAscii"/>
          <w:noProof w:val="0"/>
          <w:lang w:val="en-US"/>
        </w:rPr>
        <w:t xml:space="preserve"> </w:t>
      </w:r>
      <w:hyperlink r:id="R2eac64ce790d4205">
        <w:r w:rsidRPr="40EE1397" w:rsidR="2026FF48">
          <w:rPr>
            <w:rStyle w:val="Hyperlink"/>
            <w:rFonts w:ascii="Times New Roman" w:hAnsi="Times New Roman" w:eastAsia="Times New Roman" w:cs="Times New Roman" w:asciiTheme="minorAscii" w:hAnsiTheme="minorAscii" w:eastAsiaTheme="minorAscii" w:cstheme="minorAscii"/>
            <w:noProof w:val="0"/>
            <w:lang w:val="en-US"/>
          </w:rPr>
          <w:t>https://doi.org/10.1038/nature12300</w:t>
        </w:r>
      </w:hyperlink>
    </w:p>
    <w:p w:rsidR="40EE1397" w:rsidP="40EE1397" w:rsidRDefault="40EE1397" w14:paraId="56C1CB9F" w14:textId="112A24CD">
      <w:pPr>
        <w:pStyle w:val="ListParagraph"/>
        <w:ind w:left="720"/>
        <w:rPr>
          <w:rFonts w:ascii="Times New Roman" w:hAnsi="Times New Roman" w:eastAsia="Times New Roman" w:cs="Times New Roman" w:asciiTheme="minorAscii" w:hAnsiTheme="minorAscii" w:eastAsiaTheme="minorAscii" w:cstheme="minorAscii"/>
          <w:noProof w:val="0"/>
          <w:lang w:val="en-US"/>
        </w:rPr>
      </w:pPr>
    </w:p>
    <w:p w:rsidR="2026FF48" w:rsidP="40EE1397" w:rsidRDefault="2026FF48" w14:paraId="69CFC80F" w14:textId="0D2AEAA1">
      <w:pPr>
        <w:pStyle w:val="ListParagraph"/>
        <w:numPr>
          <w:ilvl w:val="0"/>
          <w:numId w:val="1"/>
        </w:numPr>
        <w:rPr>
          <w:rFonts w:ascii="Times New Roman" w:hAnsi="Times New Roman" w:eastAsia="Times New Roman" w:cs="Times New Roman" w:asciiTheme="minorAscii" w:hAnsiTheme="minorAscii" w:eastAsiaTheme="minorAscii" w:cstheme="minorAscii"/>
          <w:b w:val="0"/>
          <w:bCs w:val="0"/>
          <w:noProof w:val="0"/>
          <w:lang w:val="en-US"/>
        </w:rPr>
      </w:pPr>
      <w:r w:rsidRPr="40EE1397" w:rsidR="2026FF48">
        <w:rPr>
          <w:rFonts w:ascii="Times New Roman" w:hAnsi="Times New Roman" w:eastAsia="Times New Roman" w:cs="Times New Roman" w:asciiTheme="minorAscii" w:hAnsiTheme="minorAscii" w:eastAsiaTheme="minorAscii" w:cstheme="minorAscii"/>
          <w:b w:val="0"/>
          <w:bCs w:val="0"/>
          <w:noProof w:val="0"/>
          <w:lang w:val="en-US"/>
        </w:rPr>
        <w:t>Murakami, S., Nakashima, R., Yamashita, E., Matsumoto, T., &amp; Yamaguchi, A. (2006).</w:t>
      </w:r>
      <w:r w:rsidRPr="40EE1397" w:rsidR="2026FF48">
        <w:rPr>
          <w:rFonts w:ascii="Times New Roman" w:hAnsi="Times New Roman" w:eastAsia="Times New Roman" w:cs="Times New Roman" w:asciiTheme="minorAscii" w:hAnsiTheme="minorAscii" w:eastAsiaTheme="minorAscii" w:cstheme="minorAscii"/>
          <w:b w:val="0"/>
          <w:bCs w:val="0"/>
          <w:noProof w:val="0"/>
          <w:lang w:val="en-US"/>
        </w:rPr>
        <w:t xml:space="preserve"> Crystal structures of a multidrug transporter reveal a functionally rotating mechanism. </w:t>
      </w:r>
      <w:r w:rsidRPr="40EE1397" w:rsidR="2026FF48">
        <w:rPr>
          <w:rFonts w:ascii="Times New Roman" w:hAnsi="Times New Roman" w:eastAsia="Times New Roman" w:cs="Times New Roman" w:asciiTheme="minorAscii" w:hAnsiTheme="minorAscii" w:eastAsiaTheme="minorAscii" w:cstheme="minorAscii"/>
          <w:b w:val="0"/>
          <w:bCs w:val="0"/>
          <w:i w:val="1"/>
          <w:iCs w:val="1"/>
          <w:noProof w:val="0"/>
          <w:lang w:val="en-US"/>
        </w:rPr>
        <w:t>Nature, 443</w:t>
      </w:r>
      <w:r w:rsidRPr="40EE1397" w:rsidR="2026FF48">
        <w:rPr>
          <w:rFonts w:ascii="Times New Roman" w:hAnsi="Times New Roman" w:eastAsia="Times New Roman" w:cs="Times New Roman" w:asciiTheme="minorAscii" w:hAnsiTheme="minorAscii" w:eastAsiaTheme="minorAscii" w:cstheme="minorAscii"/>
          <w:b w:val="0"/>
          <w:bCs w:val="0"/>
          <w:noProof w:val="0"/>
          <w:lang w:val="en-US"/>
        </w:rPr>
        <w:t>, 173–179.</w:t>
      </w:r>
      <w:r>
        <w:br/>
      </w:r>
      <w:r w:rsidRPr="40EE1397" w:rsidR="2026FF48">
        <w:rPr>
          <w:rFonts w:ascii="Times New Roman" w:hAnsi="Times New Roman" w:eastAsia="Times New Roman" w:cs="Times New Roman" w:asciiTheme="minorAscii" w:hAnsiTheme="minorAscii" w:eastAsiaTheme="minorAscii" w:cstheme="minorAscii"/>
          <w:b w:val="0"/>
          <w:bCs w:val="0"/>
          <w:noProof w:val="0"/>
          <w:lang w:val="en-US"/>
        </w:rPr>
        <w:t xml:space="preserve"> </w:t>
      </w:r>
      <w:hyperlink r:id="R554ce5b7826244b1">
        <w:r w:rsidRPr="40EE1397" w:rsidR="2026FF48">
          <w:rPr>
            <w:rStyle w:val="Hyperlink"/>
            <w:rFonts w:ascii="Times New Roman" w:hAnsi="Times New Roman" w:eastAsia="Times New Roman" w:cs="Times New Roman" w:asciiTheme="minorAscii" w:hAnsiTheme="minorAscii" w:eastAsiaTheme="minorAscii" w:cstheme="minorAscii"/>
            <w:b w:val="0"/>
            <w:bCs w:val="0"/>
            <w:noProof w:val="0"/>
            <w:lang w:val="en-US"/>
          </w:rPr>
          <w:t>https://doi.org/10.1038/nature05076</w:t>
        </w:r>
      </w:hyperlink>
    </w:p>
    <w:p w:rsidR="40EE1397" w:rsidP="40EE1397" w:rsidRDefault="40EE1397" w14:paraId="0E7BD7F0" w14:textId="775BD680">
      <w:pPr>
        <w:pStyle w:val="ListParagraph"/>
        <w:ind w:left="720"/>
        <w:rPr>
          <w:rFonts w:ascii="Times New Roman" w:hAnsi="Times New Roman" w:eastAsia="Times New Roman" w:cs="Times New Roman" w:asciiTheme="minorAscii" w:hAnsiTheme="minorAscii" w:eastAsiaTheme="minorAscii" w:cstheme="minorAscii"/>
          <w:b w:val="0"/>
          <w:bCs w:val="0"/>
          <w:noProof w:val="0"/>
          <w:lang w:val="en-US"/>
        </w:rPr>
      </w:pPr>
    </w:p>
    <w:p w:rsidR="5FBC5F82" w:rsidP="40EE1397" w:rsidRDefault="5FBC5F82" w14:paraId="211BB392" w14:textId="6A464354">
      <w:pPr>
        <w:pStyle w:val="ListParagraph"/>
        <w:numPr>
          <w:ilvl w:val="0"/>
          <w:numId w:val="1"/>
        </w:numPr>
        <w:rPr>
          <w:rFonts w:ascii="Times New Roman" w:hAnsi="Times New Roman" w:eastAsia="Times New Roman" w:cs="Times New Roman" w:asciiTheme="minorAscii" w:hAnsiTheme="minorAscii" w:eastAsiaTheme="minorAscii" w:cstheme="minorAscii"/>
          <w:b w:val="0"/>
          <w:bCs w:val="0"/>
          <w:noProof w:val="0"/>
          <w:lang w:val="en-US"/>
        </w:rPr>
      </w:pP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Du, D., van Veen, H. W., Murakami, S., Pos, K. M., &amp; Luisi, B. F. (2015).</w:t>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 xml:space="preserve"> Structural basis of RND-type multidrug exporters. </w:t>
      </w:r>
      <w:r w:rsidRPr="40EE1397" w:rsidR="5FBC5F82">
        <w:rPr>
          <w:rFonts w:ascii="Times New Roman" w:hAnsi="Times New Roman" w:eastAsia="Times New Roman" w:cs="Times New Roman" w:asciiTheme="minorAscii" w:hAnsiTheme="minorAscii" w:eastAsiaTheme="minorAscii" w:cstheme="minorAscii"/>
          <w:b w:val="0"/>
          <w:bCs w:val="0"/>
          <w:i w:val="1"/>
          <w:iCs w:val="1"/>
          <w:noProof w:val="0"/>
          <w:lang w:val="en-US"/>
        </w:rPr>
        <w:t>Current Opinion in Structural Biology, 33</w:t>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 76–84.</w:t>
      </w:r>
    </w:p>
    <w:p w:rsidR="40EE1397" w:rsidP="40EE1397" w:rsidRDefault="40EE1397" w14:paraId="3DBDF56D" w14:textId="4EC47F14">
      <w:pPr>
        <w:pStyle w:val="ListParagraph"/>
        <w:ind w:left="720"/>
        <w:rPr>
          <w:rFonts w:ascii="Times New Roman" w:hAnsi="Times New Roman" w:eastAsia="Times New Roman" w:cs="Times New Roman" w:asciiTheme="minorAscii" w:hAnsiTheme="minorAscii" w:eastAsiaTheme="minorAscii" w:cstheme="minorAscii"/>
          <w:b w:val="0"/>
          <w:bCs w:val="0"/>
          <w:noProof w:val="0"/>
          <w:lang w:val="en-US"/>
        </w:rPr>
      </w:pPr>
    </w:p>
    <w:p w:rsidR="5FBC5F82" w:rsidP="40EE1397" w:rsidRDefault="5FBC5F82" w14:paraId="0E77E121" w14:textId="22860E99">
      <w:pPr>
        <w:pStyle w:val="ListParagraph"/>
        <w:numPr>
          <w:ilvl w:val="0"/>
          <w:numId w:val="1"/>
        </w:numPr>
        <w:rPr>
          <w:rFonts w:ascii="Times New Roman" w:hAnsi="Times New Roman" w:eastAsia="Times New Roman" w:cs="Times New Roman" w:asciiTheme="minorAscii" w:hAnsiTheme="minorAscii" w:eastAsiaTheme="minorAscii" w:cstheme="minorAscii"/>
          <w:b w:val="0"/>
          <w:bCs w:val="0"/>
          <w:noProof w:val="0"/>
          <w:lang w:val="en-US"/>
        </w:rPr>
      </w:pP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 xml:space="preserve">Krivák, R., &amp; Hoksza, D. (2018). P2Rank: machine learning based tool for rapid and accurate prediction of ligand binding sites from protein structure. </w:t>
      </w:r>
      <w:r w:rsidRPr="40EE1397" w:rsidR="5FBC5F82">
        <w:rPr>
          <w:rFonts w:ascii="Times New Roman" w:hAnsi="Times New Roman" w:eastAsia="Times New Roman" w:cs="Times New Roman" w:asciiTheme="minorAscii" w:hAnsiTheme="minorAscii" w:eastAsiaTheme="minorAscii" w:cstheme="minorAscii"/>
          <w:b w:val="0"/>
          <w:bCs w:val="0"/>
          <w:i w:val="1"/>
          <w:iCs w:val="1"/>
          <w:noProof w:val="0"/>
          <w:lang w:val="en-US"/>
        </w:rPr>
        <w:t>Journal of Cheminformatics, 10</w:t>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 39.</w:t>
      </w:r>
      <w:r>
        <w:br/>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 xml:space="preserve"> </w:t>
      </w:r>
      <w:hyperlink r:id="Rb50bd9f1e4634c0c">
        <w:r w:rsidRPr="40EE1397" w:rsidR="5FBC5F82">
          <w:rPr>
            <w:rStyle w:val="Hyperlink"/>
            <w:rFonts w:ascii="Times New Roman" w:hAnsi="Times New Roman" w:eastAsia="Times New Roman" w:cs="Times New Roman" w:asciiTheme="minorAscii" w:hAnsiTheme="minorAscii" w:eastAsiaTheme="minorAscii" w:cstheme="minorAscii"/>
            <w:b w:val="0"/>
            <w:bCs w:val="0"/>
            <w:noProof w:val="0"/>
            <w:lang w:val="en-US"/>
          </w:rPr>
          <w:t>https://doi.org/10.1186/s13321-018-0285-8</w:t>
        </w:r>
      </w:hyperlink>
    </w:p>
    <w:p w:rsidR="40EE1397" w:rsidP="40EE1397" w:rsidRDefault="40EE1397" w14:paraId="1BA23F1C" w14:textId="5C1DE552">
      <w:pPr>
        <w:pStyle w:val="ListParagraph"/>
        <w:ind w:left="720"/>
        <w:rPr>
          <w:rFonts w:ascii="Times New Roman" w:hAnsi="Times New Roman" w:eastAsia="Times New Roman" w:cs="Times New Roman" w:asciiTheme="minorAscii" w:hAnsiTheme="minorAscii" w:eastAsiaTheme="minorAscii" w:cstheme="minorAscii"/>
          <w:b w:val="0"/>
          <w:bCs w:val="0"/>
          <w:noProof w:val="0"/>
          <w:lang w:val="en-US"/>
        </w:rPr>
      </w:pPr>
    </w:p>
    <w:p w:rsidR="5FBC5F82" w:rsidP="40EE1397" w:rsidRDefault="5FBC5F82" w14:paraId="52386F6E" w14:textId="03C4841C">
      <w:pPr>
        <w:pStyle w:val="ListParagraph"/>
        <w:numPr>
          <w:ilvl w:val="0"/>
          <w:numId w:val="1"/>
        </w:numPr>
        <w:rPr>
          <w:rFonts w:ascii="Times New Roman" w:hAnsi="Times New Roman" w:eastAsia="Times New Roman" w:cs="Times New Roman" w:asciiTheme="minorAscii" w:hAnsiTheme="minorAscii" w:eastAsiaTheme="minorAscii" w:cstheme="minorAscii"/>
          <w:b w:val="0"/>
          <w:bCs w:val="0"/>
          <w:noProof w:val="0"/>
          <w:lang w:val="en-US"/>
        </w:rPr>
      </w:pP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Eberhardt, J., Santos-Martins, D., Tillack, A. F., &amp; Forli, S. (2021).</w:t>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 xml:space="preserve"> AutoDock Vina 1.2.0: New docking methods, expanded force field, and Python bindings. </w:t>
      </w:r>
      <w:r w:rsidRPr="40EE1397" w:rsidR="5FBC5F82">
        <w:rPr>
          <w:rFonts w:ascii="Times New Roman" w:hAnsi="Times New Roman" w:eastAsia="Times New Roman" w:cs="Times New Roman" w:asciiTheme="minorAscii" w:hAnsiTheme="minorAscii" w:eastAsiaTheme="minorAscii" w:cstheme="minorAscii"/>
          <w:b w:val="0"/>
          <w:bCs w:val="0"/>
          <w:i w:val="1"/>
          <w:iCs w:val="1"/>
          <w:noProof w:val="0"/>
          <w:lang w:val="en-US"/>
        </w:rPr>
        <w:t>Journal of Chemical Information and Modeling, 61</w:t>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(8), 3891–3898.</w:t>
      </w:r>
      <w:r>
        <w:br/>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 xml:space="preserve"> </w:t>
      </w:r>
      <w:hyperlink r:id="Rae2e9506a2e64a9e">
        <w:r w:rsidRPr="40EE1397" w:rsidR="5FBC5F82">
          <w:rPr>
            <w:rStyle w:val="Hyperlink"/>
            <w:rFonts w:ascii="Times New Roman" w:hAnsi="Times New Roman" w:eastAsia="Times New Roman" w:cs="Times New Roman" w:asciiTheme="minorAscii" w:hAnsiTheme="minorAscii" w:eastAsiaTheme="minorAscii" w:cstheme="minorAscii"/>
            <w:b w:val="0"/>
            <w:bCs w:val="0"/>
            <w:noProof w:val="0"/>
            <w:lang w:val="en-US"/>
          </w:rPr>
          <w:t>https://doi.org/10.1021/acs.jcim.1c00203</w:t>
        </w:r>
      </w:hyperlink>
    </w:p>
    <w:p w:rsidR="40EE1397" w:rsidP="40EE1397" w:rsidRDefault="40EE1397" w14:paraId="0D4D47BD" w14:textId="2C34A308">
      <w:pPr>
        <w:pStyle w:val="ListParagraph"/>
        <w:ind w:left="720"/>
        <w:rPr>
          <w:rFonts w:ascii="Times New Roman" w:hAnsi="Times New Roman" w:eastAsia="Times New Roman" w:cs="Times New Roman" w:asciiTheme="minorAscii" w:hAnsiTheme="minorAscii" w:eastAsiaTheme="minorAscii" w:cstheme="minorAscii"/>
          <w:b w:val="0"/>
          <w:bCs w:val="0"/>
          <w:noProof w:val="0"/>
          <w:lang w:val="en-US"/>
        </w:rPr>
      </w:pPr>
    </w:p>
    <w:p w:rsidR="5FBC5F82" w:rsidP="40EE1397" w:rsidRDefault="5FBC5F82" w14:paraId="4D01187C" w14:textId="5513776D">
      <w:pPr>
        <w:pStyle w:val="ListParagraph"/>
        <w:numPr>
          <w:ilvl w:val="0"/>
          <w:numId w:val="1"/>
        </w:numPr>
        <w:rPr>
          <w:rFonts w:ascii="Times New Roman" w:hAnsi="Times New Roman" w:eastAsia="Times New Roman" w:cs="Times New Roman" w:asciiTheme="minorAscii" w:hAnsiTheme="minorAscii" w:eastAsiaTheme="minorAscii" w:cstheme="minorAscii"/>
          <w:b w:val="0"/>
          <w:bCs w:val="0"/>
          <w:noProof w:val="0"/>
          <w:lang w:val="en-US"/>
        </w:rPr>
      </w:pP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Pettersen, E. F., Goddard, T. D., Huang, C. C., et al. (2021).</w:t>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 xml:space="preserve"> UCSF ChimeraX: Structure visualization for researchers, educators, and developers. </w:t>
      </w:r>
      <w:r w:rsidRPr="40EE1397" w:rsidR="5FBC5F82">
        <w:rPr>
          <w:rFonts w:ascii="Times New Roman" w:hAnsi="Times New Roman" w:eastAsia="Times New Roman" w:cs="Times New Roman" w:asciiTheme="minorAscii" w:hAnsiTheme="minorAscii" w:eastAsiaTheme="minorAscii" w:cstheme="minorAscii"/>
          <w:b w:val="0"/>
          <w:bCs w:val="0"/>
          <w:i w:val="1"/>
          <w:iCs w:val="1"/>
          <w:noProof w:val="0"/>
          <w:lang w:val="en-US"/>
        </w:rPr>
        <w:t>Protein Science, 30</w:t>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(1), 70–82.</w:t>
      </w:r>
      <w:r>
        <w:br/>
      </w:r>
      <w:r w:rsidRPr="40EE1397" w:rsidR="5FBC5F82">
        <w:rPr>
          <w:rFonts w:ascii="Times New Roman" w:hAnsi="Times New Roman" w:eastAsia="Times New Roman" w:cs="Times New Roman" w:asciiTheme="minorAscii" w:hAnsiTheme="minorAscii" w:eastAsiaTheme="minorAscii" w:cstheme="minorAscii"/>
          <w:b w:val="0"/>
          <w:bCs w:val="0"/>
          <w:noProof w:val="0"/>
          <w:lang w:val="en-US"/>
        </w:rPr>
        <w:t xml:space="preserve"> </w:t>
      </w:r>
      <w:hyperlink r:id="R17835e27f60a4530">
        <w:r w:rsidRPr="40EE1397" w:rsidR="5FBC5F82">
          <w:rPr>
            <w:rStyle w:val="Hyperlink"/>
            <w:rFonts w:ascii="Times New Roman" w:hAnsi="Times New Roman" w:eastAsia="Times New Roman" w:cs="Times New Roman" w:asciiTheme="minorAscii" w:hAnsiTheme="minorAscii" w:eastAsiaTheme="minorAscii" w:cstheme="minorAscii"/>
            <w:b w:val="0"/>
            <w:bCs w:val="0"/>
            <w:noProof w:val="0"/>
            <w:lang w:val="en-US"/>
          </w:rPr>
          <w:t>https://doi.org/10.1002/pro.3943</w:t>
        </w:r>
      </w:hyperlink>
    </w:p>
    <w:p w:rsidR="40EE1397" w:rsidP="40EE1397" w:rsidRDefault="40EE1397" w14:paraId="57960F6D" w14:textId="215D4FA9">
      <w:pPr>
        <w:pStyle w:val="ListParagraph"/>
        <w:ind w:left="720"/>
        <w:rPr>
          <w:rFonts w:ascii="Times New Roman" w:hAnsi="Times New Roman" w:eastAsia="Times New Roman" w:cs="Times New Roman" w:asciiTheme="minorAscii" w:hAnsiTheme="minorAscii" w:eastAsiaTheme="minorAscii" w:cstheme="minorAscii"/>
          <w:b w:val="0"/>
          <w:bCs w:val="0"/>
          <w:noProof w:val="0"/>
          <w:lang w:val="en-US"/>
        </w:rPr>
      </w:pPr>
    </w:p>
    <w:p w:rsidR="40EE1397" w:rsidP="40EE1397" w:rsidRDefault="40EE1397" w14:paraId="418AA39B" w14:textId="5669AB25">
      <w:pPr>
        <w:pStyle w:val="ListParagraph"/>
        <w:ind w:left="720"/>
        <w:rPr>
          <w:rFonts w:ascii="Times New Roman" w:hAnsi="Times New Roman" w:eastAsia="Times New Roman" w:cs="Times New Roman" w:asciiTheme="minorAscii" w:hAnsiTheme="minorAscii" w:eastAsiaTheme="minorAscii" w:cstheme="minorAscii"/>
          <w:b w:val="0"/>
          <w:bCs w:val="0"/>
          <w:noProof w:val="0"/>
          <w:lang w:val="en-US"/>
        </w:rPr>
      </w:pPr>
    </w:p>
    <w:p w:rsidR="57AF9593" w:rsidP="57AF9593" w:rsidRDefault="57AF9593" w14:paraId="49C4D056" w14:textId="72E66D7F">
      <w:pPr>
        <w:pStyle w:val="ListParagraph"/>
        <w:ind w:left="720"/>
        <w:rPr>
          <w:rFonts w:ascii="Times New Roman" w:hAnsi="Times New Roman" w:eastAsia="Times New Roman" w:cs="Times New Roman" w:asciiTheme="minorAscii" w:hAnsiTheme="minorAscii" w:eastAsiaTheme="minorAscii" w:cstheme="minorAscii"/>
          <w:noProof w:val="0"/>
          <w:color w:val="auto"/>
          <w:lang w:val="en-US"/>
        </w:rPr>
      </w:pPr>
    </w:p>
    <w:p w:rsidR="57AF9593" w:rsidP="40EE1397" w:rsidRDefault="57AF9593" w14:paraId="50674185" w14:textId="7AA882C8">
      <w:pPr>
        <w:pStyle w:val="Normal"/>
        <w:ind w:left="72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w:rsidR="57AF9593" w:rsidP="40EE1397" w:rsidRDefault="57AF9593" w14:paraId="1A99791B" w14:textId="745AB690">
      <w:pPr>
        <w:pStyle w:val="ListParagraph"/>
        <w:ind w:left="72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w:rsidR="57AF9593" w:rsidP="40EE1397" w:rsidRDefault="57AF9593" w14:paraId="417F704F" w14:textId="4E9C2A63">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w:rsidR="57AF9593" w:rsidP="57AF9593" w:rsidRDefault="57AF9593" w14:paraId="0D113C95" w14:textId="5EFF10DE">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w:rsidR="20706DFE" w:rsidP="20706DFE" w:rsidRDefault="20706DFE" w14:paraId="6EFC61C5" w14:textId="66358AC8">
      <w:pPr>
        <w:pStyle w:val="Normal"/>
        <w:ind w:left="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w:rsidR="20706DFE" w:rsidP="20706DFE" w:rsidRDefault="20706DFE" w14:paraId="2715AF08" w14:textId="7C53EB48">
      <w:pPr>
        <w:pStyle w:val="ListParagraph"/>
        <w:ind w:left="72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p w:rsidR="20706DFE" w:rsidP="20706DFE" w:rsidRDefault="20706DFE" w14:paraId="7414B401" w14:textId="7ACF16C0">
      <w:pPr>
        <w:pStyle w:val="ListParagraph"/>
        <w:ind w:left="72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auto"/>
          <w:sz w:val="24"/>
          <w:szCs w:val="24"/>
          <w:u w:val="none"/>
          <w:lang w:val="en-US"/>
        </w:rPr>
      </w:pPr>
    </w:p>
    <w:sectPr>
      <w:pgSz w:w="12240" w:h="15840" w:orient="portrait"/>
      <w:pgMar w:top="1440" w:right="1440" w:bottom="1440" w:left="1440" w:header="720" w:footer="720" w:gutter="0"/>
      <w:cols w:space="720"/>
      <w:docGrid w:linePitch="360"/>
      <w:pgBorders w:offsetFrom="page">
        <w:top w:val="double" w:color="000000" w:sz="24" w:space="24"/>
        <w:left w:val="double" w:color="000000" w:sz="24" w:space="24"/>
        <w:bottom w:val="double" w:color="000000" w:sz="24" w:space="24"/>
        <w:right w:val="double" w:color="000000" w:sz="24" w:space="24"/>
      </w:pgBorders>
      <w:headerReference w:type="default" r:id="Rc02440051d6a426a"/>
      <w:footerReference w:type="default" r:id="R76be621705b842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0EE1397" w:rsidTr="40EE1397" w14:paraId="4AECBB45">
      <w:trPr>
        <w:trHeight w:val="300"/>
      </w:trPr>
      <w:tc>
        <w:tcPr>
          <w:tcW w:w="3120" w:type="dxa"/>
          <w:tcMar/>
        </w:tcPr>
        <w:p w:rsidR="40EE1397" w:rsidP="40EE1397" w:rsidRDefault="40EE1397" w14:paraId="036F0A4A" w14:textId="1ED9E716">
          <w:pPr>
            <w:pStyle w:val="Header"/>
            <w:bidi w:val="0"/>
            <w:ind w:left="-115"/>
            <w:jc w:val="left"/>
          </w:pPr>
        </w:p>
      </w:tc>
      <w:tc>
        <w:tcPr>
          <w:tcW w:w="3120" w:type="dxa"/>
          <w:tcMar/>
        </w:tcPr>
        <w:p w:rsidR="40EE1397" w:rsidP="40EE1397" w:rsidRDefault="40EE1397" w14:paraId="6B0BB8CB" w14:textId="75831E1E">
          <w:pPr>
            <w:pStyle w:val="Header"/>
            <w:bidi w:val="0"/>
            <w:jc w:val="center"/>
          </w:pPr>
        </w:p>
      </w:tc>
      <w:tc>
        <w:tcPr>
          <w:tcW w:w="3120" w:type="dxa"/>
          <w:tcMar/>
        </w:tcPr>
        <w:p w:rsidR="40EE1397" w:rsidP="40EE1397" w:rsidRDefault="40EE1397" w14:paraId="0F394DD5" w14:textId="19B2BE67">
          <w:pPr>
            <w:pStyle w:val="Header"/>
            <w:bidi w:val="0"/>
            <w:ind w:right="-115"/>
            <w:jc w:val="right"/>
          </w:pPr>
        </w:p>
      </w:tc>
    </w:tr>
  </w:tbl>
  <w:p w:rsidR="40EE1397" w:rsidP="40EE1397" w:rsidRDefault="40EE1397" w14:paraId="07C122BD" w14:textId="67B837C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0EE1397" w:rsidTr="40EE1397" w14:paraId="2E521425">
      <w:trPr>
        <w:trHeight w:val="300"/>
      </w:trPr>
      <w:tc>
        <w:tcPr>
          <w:tcW w:w="3120" w:type="dxa"/>
          <w:tcMar/>
        </w:tcPr>
        <w:p w:rsidR="40EE1397" w:rsidP="40EE1397" w:rsidRDefault="40EE1397" w14:paraId="5872D576" w14:textId="16A6EDF0">
          <w:pPr>
            <w:pStyle w:val="Header"/>
            <w:bidi w:val="0"/>
            <w:ind w:left="-115"/>
            <w:jc w:val="left"/>
          </w:pPr>
        </w:p>
      </w:tc>
      <w:tc>
        <w:tcPr>
          <w:tcW w:w="3120" w:type="dxa"/>
          <w:tcMar/>
        </w:tcPr>
        <w:p w:rsidR="40EE1397" w:rsidP="40EE1397" w:rsidRDefault="40EE1397" w14:paraId="56B5E7EB" w14:textId="598037C3">
          <w:pPr>
            <w:pStyle w:val="Header"/>
            <w:bidi w:val="0"/>
            <w:jc w:val="center"/>
          </w:pPr>
        </w:p>
      </w:tc>
      <w:tc>
        <w:tcPr>
          <w:tcW w:w="3120" w:type="dxa"/>
          <w:tcMar/>
        </w:tcPr>
        <w:p w:rsidR="40EE1397" w:rsidP="40EE1397" w:rsidRDefault="40EE1397" w14:paraId="585AE6FD" w14:textId="6A67227E">
          <w:pPr>
            <w:pStyle w:val="Header"/>
            <w:bidi w:val="0"/>
            <w:ind w:right="-115"/>
            <w:jc w:val="right"/>
          </w:pPr>
        </w:p>
      </w:tc>
    </w:tr>
  </w:tbl>
  <w:p w:rsidR="40EE1397" w:rsidP="40EE1397" w:rsidRDefault="40EE1397" w14:paraId="643D05B7" w14:textId="08E798F1">
    <w:pPr>
      <w:pStyle w:val="Header"/>
      <w:bidi w:val="0"/>
    </w:pPr>
  </w:p>
</w:hdr>
</file>

<file path=word/intelligence2.xml><?xml version="1.0" encoding="utf-8"?>
<int2:intelligence xmlns:int2="http://schemas.microsoft.com/office/intelligence/2020/intelligence">
  <int2:observations>
    <int2:textHash int2:hashCode="pGejsllZIeVxEY" int2:id="J1tEj6Ma">
      <int2:state int2:type="spell" int2:value="Rejected"/>
    </int2:textHash>
    <int2:textHash int2:hashCode="Vle6T9B91hYzGk" int2:id="Hhfn2QBy">
      <int2:state int2:type="spell" int2:value="Rejected"/>
    </int2:textHash>
    <int2:textHash int2:hashCode="SpLq8JN9ZZjIFx" int2:id="VeFBpuxU">
      <int2:state int2:type="spell" int2:value="Rejected"/>
    </int2:textHash>
    <int2:textHash int2:hashCode="kd35xRZ9E910Nb" int2:id="LtAbK7X1">
      <int2:state int2:type="spell" int2:value="Rejected"/>
    </int2:textHash>
    <int2:textHash int2:hashCode="XmC54xDgNWxU21" int2:id="kseOFcu8">
      <int2:state int2:type="spell" int2:value="Rejected"/>
    </int2:textHash>
    <int2:textHash int2:hashCode="eZMtP/A9HWp7zz" int2:id="fcMZ1Q4B">
      <int2:state int2:type="spell" int2:value="Rejected"/>
    </int2:textHash>
    <int2:textHash int2:hashCode="xaXUveK6qNbasH" int2:id="QdHMxVGy">
      <int2:state int2:type="spell" int2:value="Rejected"/>
    </int2:textHash>
    <int2:textHash int2:hashCode="Uoad2e6tSU5IiE" int2:id="es3e7kvG">
      <int2:state int2:type="spell" int2:value="Rejected"/>
    </int2:textHash>
    <int2:textHash int2:hashCode="x+I+QUvoeyDSZn" int2:id="BGMPHIkh">
      <int2:state int2:type="spell" int2:value="Rejected"/>
    </int2:textHash>
    <int2:textHash int2:hashCode="Et4qQTiGALhTB3" int2:id="ni5hXajr">
      <int2:state int2:type="spell" int2:value="Rejected"/>
    </int2:textHash>
    <int2:textHash int2:hashCode="gxqgbXBae6Qwwj" int2:id="JSIRgFNd">
      <int2:state int2:type="spell" int2:value="Rejected"/>
    </int2:textHash>
    <int2:textHash int2:hashCode="BS/g95C6Tuujxk" int2:id="4k2lDO5d">
      <int2:state int2:type="spell" int2:value="Rejected"/>
    </int2:textHash>
    <int2:textHash int2:hashCode="9N/pZS93ZopLcQ" int2:id="4WKoEbtX">
      <int2:state int2:type="spell" int2:value="Rejected"/>
    </int2:textHash>
    <int2:textHash int2:hashCode="sdYbpH7w2tBNBd" int2:id="mpH0HzT0">
      <int2:state int2:type="spell" int2:value="Rejected"/>
    </int2:textHash>
    <int2:textHash int2:hashCode="iPJsFAqs7AzFS7" int2:id="C5zHJOGy">
      <int2:state int2:type="spell" int2:value="Rejected"/>
    </int2:textHash>
    <int2:textHash int2:hashCode="JydzJlTJDg6HlQ" int2:id="yYMm780K">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5">
    <w:nsid w:val="677c8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8c3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731fe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a1af1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e2abf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a550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2cbe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6f641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ef23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7ce65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11d762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6a5014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0163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d761f4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6438c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138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dfe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51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6b1c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6a422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4a2eb2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30d16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266df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979c7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ccc42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0BE6BE"/>
    <w:rsid w:val="00059BFC"/>
    <w:rsid w:val="00312DC6"/>
    <w:rsid w:val="004D677F"/>
    <w:rsid w:val="00566B25"/>
    <w:rsid w:val="007EA781"/>
    <w:rsid w:val="00B9C3A2"/>
    <w:rsid w:val="00D79734"/>
    <w:rsid w:val="00D9EF12"/>
    <w:rsid w:val="00E60784"/>
    <w:rsid w:val="01008BDA"/>
    <w:rsid w:val="01224BAA"/>
    <w:rsid w:val="015A6B38"/>
    <w:rsid w:val="0161C923"/>
    <w:rsid w:val="01695C26"/>
    <w:rsid w:val="016E2B8C"/>
    <w:rsid w:val="01983332"/>
    <w:rsid w:val="01B1EE0A"/>
    <w:rsid w:val="01F50C0E"/>
    <w:rsid w:val="02066665"/>
    <w:rsid w:val="024E040B"/>
    <w:rsid w:val="028E200F"/>
    <w:rsid w:val="02C12C67"/>
    <w:rsid w:val="02C59098"/>
    <w:rsid w:val="02D8D3F4"/>
    <w:rsid w:val="02E80A99"/>
    <w:rsid w:val="0321A371"/>
    <w:rsid w:val="035B90B5"/>
    <w:rsid w:val="0365E950"/>
    <w:rsid w:val="03671450"/>
    <w:rsid w:val="039679F2"/>
    <w:rsid w:val="03A5A9A2"/>
    <w:rsid w:val="03BB52D0"/>
    <w:rsid w:val="03C12B30"/>
    <w:rsid w:val="03D2F852"/>
    <w:rsid w:val="03E8BA42"/>
    <w:rsid w:val="040B2CD7"/>
    <w:rsid w:val="0413ABA5"/>
    <w:rsid w:val="0420AB4B"/>
    <w:rsid w:val="043967DC"/>
    <w:rsid w:val="04476EC0"/>
    <w:rsid w:val="044F1B40"/>
    <w:rsid w:val="046019DB"/>
    <w:rsid w:val="04837CAA"/>
    <w:rsid w:val="04A5FC70"/>
    <w:rsid w:val="04BA30C0"/>
    <w:rsid w:val="0510AB4C"/>
    <w:rsid w:val="0567516A"/>
    <w:rsid w:val="05707DD1"/>
    <w:rsid w:val="057A510A"/>
    <w:rsid w:val="05902FC6"/>
    <w:rsid w:val="05F1E598"/>
    <w:rsid w:val="062AAACD"/>
    <w:rsid w:val="063B0E4A"/>
    <w:rsid w:val="06595E90"/>
    <w:rsid w:val="066DB3F5"/>
    <w:rsid w:val="06A74056"/>
    <w:rsid w:val="06CBA9DC"/>
    <w:rsid w:val="06D1D2A6"/>
    <w:rsid w:val="06F8E372"/>
    <w:rsid w:val="071D3B70"/>
    <w:rsid w:val="07309DE9"/>
    <w:rsid w:val="073C4CF8"/>
    <w:rsid w:val="074AE40D"/>
    <w:rsid w:val="0753C6CC"/>
    <w:rsid w:val="075991C5"/>
    <w:rsid w:val="0777C79A"/>
    <w:rsid w:val="0789F4B6"/>
    <w:rsid w:val="07D56538"/>
    <w:rsid w:val="07E1D3CA"/>
    <w:rsid w:val="07F02E6F"/>
    <w:rsid w:val="082E667A"/>
    <w:rsid w:val="0832356B"/>
    <w:rsid w:val="0858C206"/>
    <w:rsid w:val="086E45CA"/>
    <w:rsid w:val="0883928B"/>
    <w:rsid w:val="08CD32FB"/>
    <w:rsid w:val="08CE7A68"/>
    <w:rsid w:val="08D0C73D"/>
    <w:rsid w:val="093DB431"/>
    <w:rsid w:val="0953A321"/>
    <w:rsid w:val="0957D44B"/>
    <w:rsid w:val="098A2781"/>
    <w:rsid w:val="09B20C8B"/>
    <w:rsid w:val="09BCC1A8"/>
    <w:rsid w:val="0A50DE0A"/>
    <w:rsid w:val="0A55D1B0"/>
    <w:rsid w:val="0A6599DE"/>
    <w:rsid w:val="0A80CD7D"/>
    <w:rsid w:val="0AA9AC0F"/>
    <w:rsid w:val="0ACA7D76"/>
    <w:rsid w:val="0AE7C68F"/>
    <w:rsid w:val="0AF2BBB6"/>
    <w:rsid w:val="0B01FAA6"/>
    <w:rsid w:val="0B3EE24B"/>
    <w:rsid w:val="0B6EB07B"/>
    <w:rsid w:val="0BA6BF24"/>
    <w:rsid w:val="0BA8B4C2"/>
    <w:rsid w:val="0BBDA340"/>
    <w:rsid w:val="0BBED50A"/>
    <w:rsid w:val="0BCCA5DE"/>
    <w:rsid w:val="0C4A8158"/>
    <w:rsid w:val="0C4E3959"/>
    <w:rsid w:val="0C4E3959"/>
    <w:rsid w:val="0C633E67"/>
    <w:rsid w:val="0CB002D2"/>
    <w:rsid w:val="0CD85919"/>
    <w:rsid w:val="0D0A5C31"/>
    <w:rsid w:val="0D1D3964"/>
    <w:rsid w:val="0D1F2AD3"/>
    <w:rsid w:val="0D597783"/>
    <w:rsid w:val="0D5A96AF"/>
    <w:rsid w:val="0D5E4A63"/>
    <w:rsid w:val="0D8B1FBB"/>
    <w:rsid w:val="0D8FD9BA"/>
    <w:rsid w:val="0DBC2A45"/>
    <w:rsid w:val="0E0C5828"/>
    <w:rsid w:val="0E1F5D4F"/>
    <w:rsid w:val="0E440660"/>
    <w:rsid w:val="0E6F256E"/>
    <w:rsid w:val="0E7D2D36"/>
    <w:rsid w:val="0EA66D7C"/>
    <w:rsid w:val="0EED4262"/>
    <w:rsid w:val="0F05790D"/>
    <w:rsid w:val="0F11EDDD"/>
    <w:rsid w:val="0F148DFA"/>
    <w:rsid w:val="0F18DC62"/>
    <w:rsid w:val="0F2B8BB6"/>
    <w:rsid w:val="0F419648"/>
    <w:rsid w:val="0F4918CB"/>
    <w:rsid w:val="0F5737C9"/>
    <w:rsid w:val="0F6D4DCE"/>
    <w:rsid w:val="0F82FD7F"/>
    <w:rsid w:val="0F9500AE"/>
    <w:rsid w:val="0FA30E6D"/>
    <w:rsid w:val="0FAF2CEC"/>
    <w:rsid w:val="10007F79"/>
    <w:rsid w:val="102588FA"/>
    <w:rsid w:val="1059D992"/>
    <w:rsid w:val="10606355"/>
    <w:rsid w:val="10DFC990"/>
    <w:rsid w:val="10F074F9"/>
    <w:rsid w:val="110F6516"/>
    <w:rsid w:val="112BF958"/>
    <w:rsid w:val="11329A6C"/>
    <w:rsid w:val="11340A06"/>
    <w:rsid w:val="115706EF"/>
    <w:rsid w:val="1161E0ED"/>
    <w:rsid w:val="118C1619"/>
    <w:rsid w:val="11C81DFE"/>
    <w:rsid w:val="11E9A304"/>
    <w:rsid w:val="11ED7577"/>
    <w:rsid w:val="1209C84B"/>
    <w:rsid w:val="12323236"/>
    <w:rsid w:val="12445929"/>
    <w:rsid w:val="1287943B"/>
    <w:rsid w:val="12F7E18C"/>
    <w:rsid w:val="12FDA32F"/>
    <w:rsid w:val="13086AAF"/>
    <w:rsid w:val="13609299"/>
    <w:rsid w:val="136B3F2B"/>
    <w:rsid w:val="138F5CE0"/>
    <w:rsid w:val="13984238"/>
    <w:rsid w:val="13A9EF5F"/>
    <w:rsid w:val="13F7AF9A"/>
    <w:rsid w:val="1446FE96"/>
    <w:rsid w:val="1486FCCC"/>
    <w:rsid w:val="14997062"/>
    <w:rsid w:val="14F8182F"/>
    <w:rsid w:val="1505F21B"/>
    <w:rsid w:val="15247D04"/>
    <w:rsid w:val="153DDA3C"/>
    <w:rsid w:val="154D03A8"/>
    <w:rsid w:val="1589D4D6"/>
    <w:rsid w:val="15C02510"/>
    <w:rsid w:val="15F437E4"/>
    <w:rsid w:val="1629BF91"/>
    <w:rsid w:val="16412D0B"/>
    <w:rsid w:val="16445C76"/>
    <w:rsid w:val="16458E38"/>
    <w:rsid w:val="16D8B194"/>
    <w:rsid w:val="1707262F"/>
    <w:rsid w:val="1707262F"/>
    <w:rsid w:val="171A6FE9"/>
    <w:rsid w:val="173359D3"/>
    <w:rsid w:val="176F000A"/>
    <w:rsid w:val="177AF382"/>
    <w:rsid w:val="1787A8C6"/>
    <w:rsid w:val="179DEB38"/>
    <w:rsid w:val="17AFB0BB"/>
    <w:rsid w:val="17C21D3B"/>
    <w:rsid w:val="17C882D7"/>
    <w:rsid w:val="17EA8C15"/>
    <w:rsid w:val="17EE2FEE"/>
    <w:rsid w:val="18394002"/>
    <w:rsid w:val="18B2941F"/>
    <w:rsid w:val="18C36E30"/>
    <w:rsid w:val="19047EBB"/>
    <w:rsid w:val="1909E0A2"/>
    <w:rsid w:val="192F1F45"/>
    <w:rsid w:val="194B2D48"/>
    <w:rsid w:val="197AA479"/>
    <w:rsid w:val="1983B356"/>
    <w:rsid w:val="199065A7"/>
    <w:rsid w:val="19C9A0E4"/>
    <w:rsid w:val="1A0BE6CD"/>
    <w:rsid w:val="1A61DC3F"/>
    <w:rsid w:val="1A75B0D4"/>
    <w:rsid w:val="1A893074"/>
    <w:rsid w:val="1ADB271F"/>
    <w:rsid w:val="1ADD7C87"/>
    <w:rsid w:val="1B1B4D92"/>
    <w:rsid w:val="1B1C9C70"/>
    <w:rsid w:val="1B34B52A"/>
    <w:rsid w:val="1B4273ED"/>
    <w:rsid w:val="1B54FC97"/>
    <w:rsid w:val="1BC6DAE0"/>
    <w:rsid w:val="1BE84781"/>
    <w:rsid w:val="1BF71B7E"/>
    <w:rsid w:val="1C07379B"/>
    <w:rsid w:val="1C07DE8C"/>
    <w:rsid w:val="1C440653"/>
    <w:rsid w:val="1C525194"/>
    <w:rsid w:val="1C54E745"/>
    <w:rsid w:val="1C57302F"/>
    <w:rsid w:val="1C7CCE8E"/>
    <w:rsid w:val="1C7CCE8E"/>
    <w:rsid w:val="1C8EB86C"/>
    <w:rsid w:val="1C99E43A"/>
    <w:rsid w:val="1D2100F0"/>
    <w:rsid w:val="1D273D50"/>
    <w:rsid w:val="1D720811"/>
    <w:rsid w:val="1DA28DD0"/>
    <w:rsid w:val="1DCC1796"/>
    <w:rsid w:val="1DD189F5"/>
    <w:rsid w:val="1DE7C411"/>
    <w:rsid w:val="1DF82097"/>
    <w:rsid w:val="1E6AAA60"/>
    <w:rsid w:val="1E7C5292"/>
    <w:rsid w:val="1E8C62D8"/>
    <w:rsid w:val="1EB7BCFA"/>
    <w:rsid w:val="1EE1A228"/>
    <w:rsid w:val="1F595BCC"/>
    <w:rsid w:val="1F813AC0"/>
    <w:rsid w:val="1F90F788"/>
    <w:rsid w:val="1FACD8FF"/>
    <w:rsid w:val="1FCA5CD4"/>
    <w:rsid w:val="1FE0A38C"/>
    <w:rsid w:val="1FECAF77"/>
    <w:rsid w:val="201B3F31"/>
    <w:rsid w:val="2026FF48"/>
    <w:rsid w:val="206EFFA5"/>
    <w:rsid w:val="20706DFE"/>
    <w:rsid w:val="207321DD"/>
    <w:rsid w:val="207566FB"/>
    <w:rsid w:val="209131B9"/>
    <w:rsid w:val="20A48194"/>
    <w:rsid w:val="218D1174"/>
    <w:rsid w:val="21AA8C90"/>
    <w:rsid w:val="21C4D83A"/>
    <w:rsid w:val="21C4D8E8"/>
    <w:rsid w:val="21D3471C"/>
    <w:rsid w:val="21D767FB"/>
    <w:rsid w:val="221F8713"/>
    <w:rsid w:val="22587482"/>
    <w:rsid w:val="228C930E"/>
    <w:rsid w:val="2315FE87"/>
    <w:rsid w:val="2331836E"/>
    <w:rsid w:val="2363B4EE"/>
    <w:rsid w:val="23D1AD46"/>
    <w:rsid w:val="23EADE3F"/>
    <w:rsid w:val="2414B906"/>
    <w:rsid w:val="241CF912"/>
    <w:rsid w:val="244D40FE"/>
    <w:rsid w:val="2460FD2A"/>
    <w:rsid w:val="247D7F8D"/>
    <w:rsid w:val="24B2357C"/>
    <w:rsid w:val="24C68573"/>
    <w:rsid w:val="24C9F512"/>
    <w:rsid w:val="24FA810A"/>
    <w:rsid w:val="24FE268E"/>
    <w:rsid w:val="25214BD9"/>
    <w:rsid w:val="2530F04D"/>
    <w:rsid w:val="2536DDA9"/>
    <w:rsid w:val="254CF072"/>
    <w:rsid w:val="259E4DDC"/>
    <w:rsid w:val="25B054F0"/>
    <w:rsid w:val="25B11110"/>
    <w:rsid w:val="25B1409C"/>
    <w:rsid w:val="25C558D7"/>
    <w:rsid w:val="25EB59C2"/>
    <w:rsid w:val="26324A1C"/>
    <w:rsid w:val="26369358"/>
    <w:rsid w:val="2658F74D"/>
    <w:rsid w:val="266BCEDB"/>
    <w:rsid w:val="266E036D"/>
    <w:rsid w:val="269DE1F7"/>
    <w:rsid w:val="26BEF410"/>
    <w:rsid w:val="26D1FB79"/>
    <w:rsid w:val="27154AE4"/>
    <w:rsid w:val="272036B6"/>
    <w:rsid w:val="273C9F4D"/>
    <w:rsid w:val="27441CC9"/>
    <w:rsid w:val="2753628E"/>
    <w:rsid w:val="27777391"/>
    <w:rsid w:val="278E968B"/>
    <w:rsid w:val="28000334"/>
    <w:rsid w:val="280710CC"/>
    <w:rsid w:val="281C811B"/>
    <w:rsid w:val="2838738C"/>
    <w:rsid w:val="2863E408"/>
    <w:rsid w:val="28B78425"/>
    <w:rsid w:val="28DBC54F"/>
    <w:rsid w:val="29226BE7"/>
    <w:rsid w:val="2930D53F"/>
    <w:rsid w:val="294EE744"/>
    <w:rsid w:val="297B3937"/>
    <w:rsid w:val="297D4D9F"/>
    <w:rsid w:val="299EC9C2"/>
    <w:rsid w:val="29BFCCF4"/>
    <w:rsid w:val="29C4F4A9"/>
    <w:rsid w:val="29FD38DA"/>
    <w:rsid w:val="29FE6BA7"/>
    <w:rsid w:val="2A246AFA"/>
    <w:rsid w:val="2A311B6D"/>
    <w:rsid w:val="2A368011"/>
    <w:rsid w:val="2A3BC2CF"/>
    <w:rsid w:val="2A4A617D"/>
    <w:rsid w:val="2A84D1C9"/>
    <w:rsid w:val="2A8537FC"/>
    <w:rsid w:val="2A917F3A"/>
    <w:rsid w:val="2A9889BF"/>
    <w:rsid w:val="2AB6E9EB"/>
    <w:rsid w:val="2AB7C1E0"/>
    <w:rsid w:val="2AC0ED52"/>
    <w:rsid w:val="2AECC603"/>
    <w:rsid w:val="2AF24939"/>
    <w:rsid w:val="2B0A716D"/>
    <w:rsid w:val="2B1ADE16"/>
    <w:rsid w:val="2B38B719"/>
    <w:rsid w:val="2B4C78E4"/>
    <w:rsid w:val="2B5F0F26"/>
    <w:rsid w:val="2BA08DF4"/>
    <w:rsid w:val="2BD78B61"/>
    <w:rsid w:val="2BDD98C6"/>
    <w:rsid w:val="2C2CD9BA"/>
    <w:rsid w:val="2C3B049F"/>
    <w:rsid w:val="2C5C6341"/>
    <w:rsid w:val="2CA06980"/>
    <w:rsid w:val="2CB69D7F"/>
    <w:rsid w:val="2CD1BC2C"/>
    <w:rsid w:val="2CDC9459"/>
    <w:rsid w:val="2CDD5F0E"/>
    <w:rsid w:val="2CE6FE86"/>
    <w:rsid w:val="2D1C7F2C"/>
    <w:rsid w:val="2D4FF448"/>
    <w:rsid w:val="2D5855AE"/>
    <w:rsid w:val="2D5DA31A"/>
    <w:rsid w:val="2D6454E1"/>
    <w:rsid w:val="2D721A13"/>
    <w:rsid w:val="2DAC56E2"/>
    <w:rsid w:val="2DBC7939"/>
    <w:rsid w:val="2DDC00DB"/>
    <w:rsid w:val="2DF39EA9"/>
    <w:rsid w:val="2E16CF62"/>
    <w:rsid w:val="2E5F3C6A"/>
    <w:rsid w:val="2E7B22A3"/>
    <w:rsid w:val="2ECACCF9"/>
    <w:rsid w:val="2EF8C936"/>
    <w:rsid w:val="2F0588B3"/>
    <w:rsid w:val="2F1D9CD0"/>
    <w:rsid w:val="2F441B04"/>
    <w:rsid w:val="2F5C0049"/>
    <w:rsid w:val="2F818605"/>
    <w:rsid w:val="2FAD23CC"/>
    <w:rsid w:val="2FE3505C"/>
    <w:rsid w:val="2FEE538D"/>
    <w:rsid w:val="30007B31"/>
    <w:rsid w:val="302721EC"/>
    <w:rsid w:val="3031290E"/>
    <w:rsid w:val="3041A326"/>
    <w:rsid w:val="3058B8AB"/>
    <w:rsid w:val="305E0CF5"/>
    <w:rsid w:val="307AE603"/>
    <w:rsid w:val="30ACE0BC"/>
    <w:rsid w:val="30FD14EE"/>
    <w:rsid w:val="311ACC34"/>
    <w:rsid w:val="31267271"/>
    <w:rsid w:val="318FFB23"/>
    <w:rsid w:val="31D935E5"/>
    <w:rsid w:val="31DB448A"/>
    <w:rsid w:val="31E632AD"/>
    <w:rsid w:val="31F903FF"/>
    <w:rsid w:val="320FA616"/>
    <w:rsid w:val="3228083E"/>
    <w:rsid w:val="327D4C4A"/>
    <w:rsid w:val="328A0B7A"/>
    <w:rsid w:val="32A63606"/>
    <w:rsid w:val="32C8EAE2"/>
    <w:rsid w:val="32E8948B"/>
    <w:rsid w:val="32FF76A2"/>
    <w:rsid w:val="3311BE56"/>
    <w:rsid w:val="331711B4"/>
    <w:rsid w:val="33297594"/>
    <w:rsid w:val="332E6751"/>
    <w:rsid w:val="3334253A"/>
    <w:rsid w:val="3366F88C"/>
    <w:rsid w:val="337B1BF9"/>
    <w:rsid w:val="33B58BA9"/>
    <w:rsid w:val="3486E82E"/>
    <w:rsid w:val="34B84DF7"/>
    <w:rsid w:val="34D6F5DD"/>
    <w:rsid w:val="34DEAFBC"/>
    <w:rsid w:val="34E4CCED"/>
    <w:rsid w:val="35094ADF"/>
    <w:rsid w:val="355EB132"/>
    <w:rsid w:val="35761AD0"/>
    <w:rsid w:val="35A4FD7B"/>
    <w:rsid w:val="35BA5469"/>
    <w:rsid w:val="361F6633"/>
    <w:rsid w:val="36389424"/>
    <w:rsid w:val="36389424"/>
    <w:rsid w:val="3639A70C"/>
    <w:rsid w:val="3686D5CF"/>
    <w:rsid w:val="36918E55"/>
    <w:rsid w:val="36C7E7FB"/>
    <w:rsid w:val="36D7EFE8"/>
    <w:rsid w:val="36FD68C7"/>
    <w:rsid w:val="370840C2"/>
    <w:rsid w:val="371DAA66"/>
    <w:rsid w:val="3734786E"/>
    <w:rsid w:val="378B4F3F"/>
    <w:rsid w:val="37CE0ECC"/>
    <w:rsid w:val="37FB544B"/>
    <w:rsid w:val="3810BA8C"/>
    <w:rsid w:val="38150DE2"/>
    <w:rsid w:val="3818C54F"/>
    <w:rsid w:val="3818C54F"/>
    <w:rsid w:val="382A9814"/>
    <w:rsid w:val="386D5D5B"/>
    <w:rsid w:val="388A15EE"/>
    <w:rsid w:val="38A33474"/>
    <w:rsid w:val="38ED9CEF"/>
    <w:rsid w:val="390D3273"/>
    <w:rsid w:val="39284C23"/>
    <w:rsid w:val="39778573"/>
    <w:rsid w:val="39785625"/>
    <w:rsid w:val="39A42984"/>
    <w:rsid w:val="39DFEA0B"/>
    <w:rsid w:val="3A2F597D"/>
    <w:rsid w:val="3A5BD83D"/>
    <w:rsid w:val="3A5BD83D"/>
    <w:rsid w:val="3A71E8FB"/>
    <w:rsid w:val="3A8C7F7A"/>
    <w:rsid w:val="3A97F8D5"/>
    <w:rsid w:val="3AA03A05"/>
    <w:rsid w:val="3AA14555"/>
    <w:rsid w:val="3AC20CAD"/>
    <w:rsid w:val="3ACCE557"/>
    <w:rsid w:val="3B056BE3"/>
    <w:rsid w:val="3B0D27DA"/>
    <w:rsid w:val="3B10B024"/>
    <w:rsid w:val="3B34BA08"/>
    <w:rsid w:val="3B487FCB"/>
    <w:rsid w:val="3B9C3360"/>
    <w:rsid w:val="3B9C73C1"/>
    <w:rsid w:val="3BAF168C"/>
    <w:rsid w:val="3BB13AD4"/>
    <w:rsid w:val="3BC73C77"/>
    <w:rsid w:val="3BC9A01F"/>
    <w:rsid w:val="3C1BA32C"/>
    <w:rsid w:val="3C312FE0"/>
    <w:rsid w:val="3C4A74EB"/>
    <w:rsid w:val="3C660162"/>
    <w:rsid w:val="3C749FCF"/>
    <w:rsid w:val="3C7E89E8"/>
    <w:rsid w:val="3CAFE10B"/>
    <w:rsid w:val="3CB741E2"/>
    <w:rsid w:val="3D49B570"/>
    <w:rsid w:val="3D6B141D"/>
    <w:rsid w:val="3DCF94D0"/>
    <w:rsid w:val="3DFECDF5"/>
    <w:rsid w:val="3E1D049A"/>
    <w:rsid w:val="3E1D082B"/>
    <w:rsid w:val="3E4EB9A8"/>
    <w:rsid w:val="3E69C28F"/>
    <w:rsid w:val="3E822298"/>
    <w:rsid w:val="3E8E6104"/>
    <w:rsid w:val="3E958433"/>
    <w:rsid w:val="3EC31554"/>
    <w:rsid w:val="3ECF3C31"/>
    <w:rsid w:val="3EE97FF4"/>
    <w:rsid w:val="3EEA2AAF"/>
    <w:rsid w:val="3EEC327D"/>
    <w:rsid w:val="3F1F60C0"/>
    <w:rsid w:val="3F2D64AA"/>
    <w:rsid w:val="3F3847CF"/>
    <w:rsid w:val="3F8761A7"/>
    <w:rsid w:val="3FB3FD2A"/>
    <w:rsid w:val="3FB407DF"/>
    <w:rsid w:val="3FBAFA02"/>
    <w:rsid w:val="3FE1B1B9"/>
    <w:rsid w:val="3FE7C1F1"/>
    <w:rsid w:val="3FF905A4"/>
    <w:rsid w:val="3FF9D826"/>
    <w:rsid w:val="401AC254"/>
    <w:rsid w:val="4056FC19"/>
    <w:rsid w:val="407B6502"/>
    <w:rsid w:val="40EE1397"/>
    <w:rsid w:val="40F03EA2"/>
    <w:rsid w:val="410BE6BE"/>
    <w:rsid w:val="415AAB92"/>
    <w:rsid w:val="4179EF70"/>
    <w:rsid w:val="418996EC"/>
    <w:rsid w:val="41C0B714"/>
    <w:rsid w:val="41C35BB4"/>
    <w:rsid w:val="41CDCBE7"/>
    <w:rsid w:val="41DA6CE9"/>
    <w:rsid w:val="4210F3E3"/>
    <w:rsid w:val="4268DEC5"/>
    <w:rsid w:val="42CA7146"/>
    <w:rsid w:val="42CF63B8"/>
    <w:rsid w:val="42E835BD"/>
    <w:rsid w:val="4326EEBF"/>
    <w:rsid w:val="43439300"/>
    <w:rsid w:val="438018A0"/>
    <w:rsid w:val="43B6C861"/>
    <w:rsid w:val="43BEFB43"/>
    <w:rsid w:val="43C7592E"/>
    <w:rsid w:val="43D0B74C"/>
    <w:rsid w:val="440039B2"/>
    <w:rsid w:val="4401F7A3"/>
    <w:rsid w:val="4405079C"/>
    <w:rsid w:val="44210C95"/>
    <w:rsid w:val="442176B2"/>
    <w:rsid w:val="442477C0"/>
    <w:rsid w:val="445A14AC"/>
    <w:rsid w:val="44A8EE09"/>
    <w:rsid w:val="44BD72C2"/>
    <w:rsid w:val="44EDC089"/>
    <w:rsid w:val="44FCDF60"/>
    <w:rsid w:val="45155075"/>
    <w:rsid w:val="45235582"/>
    <w:rsid w:val="4526CA53"/>
    <w:rsid w:val="45528C32"/>
    <w:rsid w:val="45871E64"/>
    <w:rsid w:val="45A16DD3"/>
    <w:rsid w:val="45BE91FC"/>
    <w:rsid w:val="45C66D53"/>
    <w:rsid w:val="45DE76F8"/>
    <w:rsid w:val="45EB5D66"/>
    <w:rsid w:val="461CB8A3"/>
    <w:rsid w:val="46240430"/>
    <w:rsid w:val="4641CBD6"/>
    <w:rsid w:val="4645CC85"/>
    <w:rsid w:val="465B39A5"/>
    <w:rsid w:val="466CF417"/>
    <w:rsid w:val="4680123B"/>
    <w:rsid w:val="47290DEE"/>
    <w:rsid w:val="47290DEE"/>
    <w:rsid w:val="47421A62"/>
    <w:rsid w:val="474CF9D4"/>
    <w:rsid w:val="474DF94A"/>
    <w:rsid w:val="4781B2AD"/>
    <w:rsid w:val="47823688"/>
    <w:rsid w:val="4798493F"/>
    <w:rsid w:val="47A08618"/>
    <w:rsid w:val="48004C64"/>
    <w:rsid w:val="480A13D9"/>
    <w:rsid w:val="482282EC"/>
    <w:rsid w:val="4852B4E7"/>
    <w:rsid w:val="485E6710"/>
    <w:rsid w:val="4867B1C6"/>
    <w:rsid w:val="4867B1C6"/>
    <w:rsid w:val="48865093"/>
    <w:rsid w:val="488E2508"/>
    <w:rsid w:val="48A9D202"/>
    <w:rsid w:val="48B02DC1"/>
    <w:rsid w:val="48E6A498"/>
    <w:rsid w:val="48F2A794"/>
    <w:rsid w:val="48F4324E"/>
    <w:rsid w:val="4949866F"/>
    <w:rsid w:val="4950BD27"/>
    <w:rsid w:val="4957C385"/>
    <w:rsid w:val="497745DB"/>
    <w:rsid w:val="4992C6AE"/>
    <w:rsid w:val="49B21AD6"/>
    <w:rsid w:val="49C02DE1"/>
    <w:rsid w:val="49C5B1E6"/>
    <w:rsid w:val="49CBF089"/>
    <w:rsid w:val="49DEA476"/>
    <w:rsid w:val="49FEB973"/>
    <w:rsid w:val="4A02C89A"/>
    <w:rsid w:val="4A0471C6"/>
    <w:rsid w:val="4A155EA8"/>
    <w:rsid w:val="4A16A0A1"/>
    <w:rsid w:val="4A396CB3"/>
    <w:rsid w:val="4A58E826"/>
    <w:rsid w:val="4A7047B5"/>
    <w:rsid w:val="4AC4A694"/>
    <w:rsid w:val="4B19E1AD"/>
    <w:rsid w:val="4B1AD4EB"/>
    <w:rsid w:val="4B3D7FAA"/>
    <w:rsid w:val="4B972DF8"/>
    <w:rsid w:val="4BDB1D52"/>
    <w:rsid w:val="4BF6759F"/>
    <w:rsid w:val="4BF6B1B4"/>
    <w:rsid w:val="4C04957F"/>
    <w:rsid w:val="4C290A35"/>
    <w:rsid w:val="4D15E2DC"/>
    <w:rsid w:val="4D4464B8"/>
    <w:rsid w:val="4D538C4A"/>
    <w:rsid w:val="4DB8F82C"/>
    <w:rsid w:val="4DD965A2"/>
    <w:rsid w:val="4DEE17AB"/>
    <w:rsid w:val="4E1821C8"/>
    <w:rsid w:val="4E27D2D1"/>
    <w:rsid w:val="4E471A14"/>
    <w:rsid w:val="4E73DE70"/>
    <w:rsid w:val="4E8DA7B0"/>
    <w:rsid w:val="4EAC9A15"/>
    <w:rsid w:val="4EB457E8"/>
    <w:rsid w:val="4EFB1AF3"/>
    <w:rsid w:val="4F03542F"/>
    <w:rsid w:val="4F06A7F9"/>
    <w:rsid w:val="4F0E7D9E"/>
    <w:rsid w:val="4F595676"/>
    <w:rsid w:val="4F8DEA49"/>
    <w:rsid w:val="4FAA033B"/>
    <w:rsid w:val="4FD4A7B9"/>
    <w:rsid w:val="4FD53E0F"/>
    <w:rsid w:val="4FD95CB7"/>
    <w:rsid w:val="4FDA71BC"/>
    <w:rsid w:val="4FEAD712"/>
    <w:rsid w:val="5005E512"/>
    <w:rsid w:val="50235E2F"/>
    <w:rsid w:val="50242B05"/>
    <w:rsid w:val="50300113"/>
    <w:rsid w:val="504DAE21"/>
    <w:rsid w:val="5066D8C4"/>
    <w:rsid w:val="507B69A6"/>
    <w:rsid w:val="50A3B214"/>
    <w:rsid w:val="50A75408"/>
    <w:rsid w:val="5165AC73"/>
    <w:rsid w:val="51947FF3"/>
    <w:rsid w:val="51BA23DD"/>
    <w:rsid w:val="51BEC89E"/>
    <w:rsid w:val="51C493FD"/>
    <w:rsid w:val="52141AA5"/>
    <w:rsid w:val="52141AA5"/>
    <w:rsid w:val="52194735"/>
    <w:rsid w:val="522C90BA"/>
    <w:rsid w:val="52457552"/>
    <w:rsid w:val="5247CF97"/>
    <w:rsid w:val="52504AB8"/>
    <w:rsid w:val="52B8AD2C"/>
    <w:rsid w:val="52E2AA02"/>
    <w:rsid w:val="538EA6CD"/>
    <w:rsid w:val="5420DB7D"/>
    <w:rsid w:val="54504D38"/>
    <w:rsid w:val="548A9DA7"/>
    <w:rsid w:val="54B016C4"/>
    <w:rsid w:val="54C0530C"/>
    <w:rsid w:val="54DC8BB3"/>
    <w:rsid w:val="550A8868"/>
    <w:rsid w:val="55189B72"/>
    <w:rsid w:val="552D1362"/>
    <w:rsid w:val="5538093B"/>
    <w:rsid w:val="554BBC5D"/>
    <w:rsid w:val="557493F4"/>
    <w:rsid w:val="557CF16C"/>
    <w:rsid w:val="55C8495B"/>
    <w:rsid w:val="55DDB8C9"/>
    <w:rsid w:val="5667F5FD"/>
    <w:rsid w:val="56B338B6"/>
    <w:rsid w:val="56C8FDC9"/>
    <w:rsid w:val="56CE7DBD"/>
    <w:rsid w:val="56D272AD"/>
    <w:rsid w:val="5704A170"/>
    <w:rsid w:val="571CE200"/>
    <w:rsid w:val="572B8C9B"/>
    <w:rsid w:val="57907238"/>
    <w:rsid w:val="57AF9593"/>
    <w:rsid w:val="57BF5186"/>
    <w:rsid w:val="57E58741"/>
    <w:rsid w:val="57ECE256"/>
    <w:rsid w:val="57F82DA7"/>
    <w:rsid w:val="586C35D9"/>
    <w:rsid w:val="588A6BC0"/>
    <w:rsid w:val="58C7C6FB"/>
    <w:rsid w:val="58CBC1C2"/>
    <w:rsid w:val="58F2479E"/>
    <w:rsid w:val="5923DB8D"/>
    <w:rsid w:val="594A522E"/>
    <w:rsid w:val="596992E0"/>
    <w:rsid w:val="5978306B"/>
    <w:rsid w:val="59A16A0F"/>
    <w:rsid w:val="59A73488"/>
    <w:rsid w:val="59AD82ED"/>
    <w:rsid w:val="59C52647"/>
    <w:rsid w:val="59CBBF15"/>
    <w:rsid w:val="59EAA680"/>
    <w:rsid w:val="59F1305C"/>
    <w:rsid w:val="5A06B33A"/>
    <w:rsid w:val="5A1BBBEF"/>
    <w:rsid w:val="5A1D2479"/>
    <w:rsid w:val="5A2869B2"/>
    <w:rsid w:val="5A2F5541"/>
    <w:rsid w:val="5A32E5EE"/>
    <w:rsid w:val="5A8F6BE6"/>
    <w:rsid w:val="5AB75F07"/>
    <w:rsid w:val="5AE5DCE8"/>
    <w:rsid w:val="5AF679E1"/>
    <w:rsid w:val="5AFF5402"/>
    <w:rsid w:val="5B14808C"/>
    <w:rsid w:val="5B335871"/>
    <w:rsid w:val="5B84C41B"/>
    <w:rsid w:val="5B9F405E"/>
    <w:rsid w:val="5BB0C9AF"/>
    <w:rsid w:val="5BBB33F6"/>
    <w:rsid w:val="5C53BC8C"/>
    <w:rsid w:val="5C93B8F3"/>
    <w:rsid w:val="5C9A222D"/>
    <w:rsid w:val="5C9A5F32"/>
    <w:rsid w:val="5CA66AA0"/>
    <w:rsid w:val="5CB3513E"/>
    <w:rsid w:val="5CCEAA8A"/>
    <w:rsid w:val="5D2832EA"/>
    <w:rsid w:val="5D4D8D13"/>
    <w:rsid w:val="5D6B33E2"/>
    <w:rsid w:val="5DDFEDBA"/>
    <w:rsid w:val="5E2CFC90"/>
    <w:rsid w:val="5E87680C"/>
    <w:rsid w:val="5E9EF36C"/>
    <w:rsid w:val="5EA4D70F"/>
    <w:rsid w:val="5EABBD7C"/>
    <w:rsid w:val="5EB884B2"/>
    <w:rsid w:val="5ED35B9A"/>
    <w:rsid w:val="5EF0EF18"/>
    <w:rsid w:val="5F530453"/>
    <w:rsid w:val="5F548E08"/>
    <w:rsid w:val="5F72FFC6"/>
    <w:rsid w:val="5F9FB1D3"/>
    <w:rsid w:val="5FA4A8D3"/>
    <w:rsid w:val="5FBC5F82"/>
    <w:rsid w:val="5FF2F121"/>
    <w:rsid w:val="601087DA"/>
    <w:rsid w:val="603A8F1E"/>
    <w:rsid w:val="604877C6"/>
    <w:rsid w:val="606E93C1"/>
    <w:rsid w:val="60A0E05E"/>
    <w:rsid w:val="60BA3B62"/>
    <w:rsid w:val="60D47787"/>
    <w:rsid w:val="611A764F"/>
    <w:rsid w:val="6148E61C"/>
    <w:rsid w:val="6148E61C"/>
    <w:rsid w:val="6150889F"/>
    <w:rsid w:val="615E3B95"/>
    <w:rsid w:val="61655B95"/>
    <w:rsid w:val="616C3EC8"/>
    <w:rsid w:val="6175673A"/>
    <w:rsid w:val="61AA4C74"/>
    <w:rsid w:val="61DF3521"/>
    <w:rsid w:val="61E20C53"/>
    <w:rsid w:val="61E407B6"/>
    <w:rsid w:val="61E687C6"/>
    <w:rsid w:val="620BE3F8"/>
    <w:rsid w:val="622AA231"/>
    <w:rsid w:val="6237EB33"/>
    <w:rsid w:val="625B3973"/>
    <w:rsid w:val="62697B5C"/>
    <w:rsid w:val="62AA242D"/>
    <w:rsid w:val="636A28F6"/>
    <w:rsid w:val="637F701D"/>
    <w:rsid w:val="639AC6B4"/>
    <w:rsid w:val="63F30DF6"/>
    <w:rsid w:val="6405652C"/>
    <w:rsid w:val="640BA241"/>
    <w:rsid w:val="640FA38B"/>
    <w:rsid w:val="6415D329"/>
    <w:rsid w:val="643398C4"/>
    <w:rsid w:val="6439CF6F"/>
    <w:rsid w:val="643C211C"/>
    <w:rsid w:val="64407860"/>
    <w:rsid w:val="64508449"/>
    <w:rsid w:val="645472F7"/>
    <w:rsid w:val="649E143A"/>
    <w:rsid w:val="6513DA1D"/>
    <w:rsid w:val="6519280B"/>
    <w:rsid w:val="652FAF23"/>
    <w:rsid w:val="654B405C"/>
    <w:rsid w:val="658BCE0A"/>
    <w:rsid w:val="6591FEFA"/>
    <w:rsid w:val="65A35379"/>
    <w:rsid w:val="65C56870"/>
    <w:rsid w:val="65E8A119"/>
    <w:rsid w:val="66115B59"/>
    <w:rsid w:val="66151B03"/>
    <w:rsid w:val="669032C6"/>
    <w:rsid w:val="66918487"/>
    <w:rsid w:val="6732C7D5"/>
    <w:rsid w:val="676888C0"/>
    <w:rsid w:val="67720D3C"/>
    <w:rsid w:val="678D5A6F"/>
    <w:rsid w:val="67B5CD31"/>
    <w:rsid w:val="67BA05FC"/>
    <w:rsid w:val="67D6FB6C"/>
    <w:rsid w:val="67D8F638"/>
    <w:rsid w:val="67DB5F11"/>
    <w:rsid w:val="67E16BBF"/>
    <w:rsid w:val="67FAB255"/>
    <w:rsid w:val="67FF5381"/>
    <w:rsid w:val="67FFF141"/>
    <w:rsid w:val="68006AED"/>
    <w:rsid w:val="68080EFE"/>
    <w:rsid w:val="6832F9F3"/>
    <w:rsid w:val="68363C71"/>
    <w:rsid w:val="68436D3F"/>
    <w:rsid w:val="68536758"/>
    <w:rsid w:val="68B2E02A"/>
    <w:rsid w:val="68D0B802"/>
    <w:rsid w:val="691C6041"/>
    <w:rsid w:val="69226013"/>
    <w:rsid w:val="694946D7"/>
    <w:rsid w:val="698C216A"/>
    <w:rsid w:val="6999C477"/>
    <w:rsid w:val="69AC873F"/>
    <w:rsid w:val="69B474FC"/>
    <w:rsid w:val="69C58E95"/>
    <w:rsid w:val="69CF2C20"/>
    <w:rsid w:val="69E34A42"/>
    <w:rsid w:val="6A02BCAA"/>
    <w:rsid w:val="6A075D72"/>
    <w:rsid w:val="6A0AC0B3"/>
    <w:rsid w:val="6A1AFC21"/>
    <w:rsid w:val="6A1E8323"/>
    <w:rsid w:val="6A601CF0"/>
    <w:rsid w:val="6A7C22FF"/>
    <w:rsid w:val="6AE0320D"/>
    <w:rsid w:val="6B1A1566"/>
    <w:rsid w:val="6B369ABC"/>
    <w:rsid w:val="6B403332"/>
    <w:rsid w:val="6B9ED645"/>
    <w:rsid w:val="6B9F2315"/>
    <w:rsid w:val="6BA104B4"/>
    <w:rsid w:val="6BB57D87"/>
    <w:rsid w:val="6BDF56C0"/>
    <w:rsid w:val="6BEEB27C"/>
    <w:rsid w:val="6C207AF6"/>
    <w:rsid w:val="6C208D33"/>
    <w:rsid w:val="6C3F5E6C"/>
    <w:rsid w:val="6C7C3CA2"/>
    <w:rsid w:val="6C94725B"/>
    <w:rsid w:val="6CD39120"/>
    <w:rsid w:val="6CE78EC6"/>
    <w:rsid w:val="6D336B5A"/>
    <w:rsid w:val="6D4F1308"/>
    <w:rsid w:val="6D611FE5"/>
    <w:rsid w:val="6D683487"/>
    <w:rsid w:val="6D9A7403"/>
    <w:rsid w:val="6DAA76F2"/>
    <w:rsid w:val="6DC79DF5"/>
    <w:rsid w:val="6DC7E3B0"/>
    <w:rsid w:val="6DCE4405"/>
    <w:rsid w:val="6E0606F0"/>
    <w:rsid w:val="6E11109B"/>
    <w:rsid w:val="6E7CCB26"/>
    <w:rsid w:val="6E7FC9E9"/>
    <w:rsid w:val="6E90889B"/>
    <w:rsid w:val="6E926751"/>
    <w:rsid w:val="6EB17988"/>
    <w:rsid w:val="6EB17988"/>
    <w:rsid w:val="6EC3E27E"/>
    <w:rsid w:val="6EC926DC"/>
    <w:rsid w:val="6ED08D37"/>
    <w:rsid w:val="6F059156"/>
    <w:rsid w:val="6F3C03B3"/>
    <w:rsid w:val="6F57F423"/>
    <w:rsid w:val="6F5FB44C"/>
    <w:rsid w:val="6F657103"/>
    <w:rsid w:val="6FFA98F9"/>
    <w:rsid w:val="7021A6B5"/>
    <w:rsid w:val="703183BD"/>
    <w:rsid w:val="7054E66F"/>
    <w:rsid w:val="7082EBB7"/>
    <w:rsid w:val="709A32A2"/>
    <w:rsid w:val="70DE0327"/>
    <w:rsid w:val="70F48077"/>
    <w:rsid w:val="71051838"/>
    <w:rsid w:val="710FD003"/>
    <w:rsid w:val="7116DDE1"/>
    <w:rsid w:val="7168B469"/>
    <w:rsid w:val="716DA0D7"/>
    <w:rsid w:val="7173F231"/>
    <w:rsid w:val="717B47C5"/>
    <w:rsid w:val="7191E486"/>
    <w:rsid w:val="71A0A7EC"/>
    <w:rsid w:val="71AF10DC"/>
    <w:rsid w:val="71BEB9BF"/>
    <w:rsid w:val="71EAD512"/>
    <w:rsid w:val="7239BCEE"/>
    <w:rsid w:val="72582E74"/>
    <w:rsid w:val="728B2566"/>
    <w:rsid w:val="728FD76C"/>
    <w:rsid w:val="72A3C71F"/>
    <w:rsid w:val="72C24134"/>
    <w:rsid w:val="72F97B84"/>
    <w:rsid w:val="7309910F"/>
    <w:rsid w:val="732C6477"/>
    <w:rsid w:val="73456CBB"/>
    <w:rsid w:val="734A702D"/>
    <w:rsid w:val="734C902A"/>
    <w:rsid w:val="736F1E61"/>
    <w:rsid w:val="73D91217"/>
    <w:rsid w:val="73E25DAC"/>
    <w:rsid w:val="740DACDE"/>
    <w:rsid w:val="74141F7A"/>
    <w:rsid w:val="74519AA3"/>
    <w:rsid w:val="745C112A"/>
    <w:rsid w:val="7494ADD4"/>
    <w:rsid w:val="74956349"/>
    <w:rsid w:val="74A06AB4"/>
    <w:rsid w:val="74B25B69"/>
    <w:rsid w:val="7597A870"/>
    <w:rsid w:val="75B3151E"/>
    <w:rsid w:val="75BA86DB"/>
    <w:rsid w:val="75D2161D"/>
    <w:rsid w:val="75DF9B7A"/>
    <w:rsid w:val="75E715DB"/>
    <w:rsid w:val="76001BFB"/>
    <w:rsid w:val="76001BFB"/>
    <w:rsid w:val="760D7A0D"/>
    <w:rsid w:val="7669321B"/>
    <w:rsid w:val="769BF3B3"/>
    <w:rsid w:val="76B56D94"/>
    <w:rsid w:val="76D67BA0"/>
    <w:rsid w:val="76F39A27"/>
    <w:rsid w:val="770A06CA"/>
    <w:rsid w:val="7716BD17"/>
    <w:rsid w:val="7725B3FC"/>
    <w:rsid w:val="7726323D"/>
    <w:rsid w:val="77339E8B"/>
    <w:rsid w:val="773F9E35"/>
    <w:rsid w:val="7742F40F"/>
    <w:rsid w:val="77689946"/>
    <w:rsid w:val="77A8BB6C"/>
    <w:rsid w:val="77C216E5"/>
    <w:rsid w:val="77DE9951"/>
    <w:rsid w:val="77E78014"/>
    <w:rsid w:val="780A5F46"/>
    <w:rsid w:val="78226FA5"/>
    <w:rsid w:val="7831402F"/>
    <w:rsid w:val="7843313A"/>
    <w:rsid w:val="790C088D"/>
    <w:rsid w:val="791778A6"/>
    <w:rsid w:val="792F8AD8"/>
    <w:rsid w:val="7951C2D3"/>
    <w:rsid w:val="79743265"/>
    <w:rsid w:val="79ACDE00"/>
    <w:rsid w:val="79C0384D"/>
    <w:rsid w:val="79E198AD"/>
    <w:rsid w:val="79E28E36"/>
    <w:rsid w:val="79E6CFED"/>
    <w:rsid w:val="7A0BCD49"/>
    <w:rsid w:val="7A11899D"/>
    <w:rsid w:val="7A1B1271"/>
    <w:rsid w:val="7A45FD66"/>
    <w:rsid w:val="7A534214"/>
    <w:rsid w:val="7A61ECE1"/>
    <w:rsid w:val="7A67B49C"/>
    <w:rsid w:val="7A685780"/>
    <w:rsid w:val="7A9F68B8"/>
    <w:rsid w:val="7AA863DC"/>
    <w:rsid w:val="7ABB8EAE"/>
    <w:rsid w:val="7AF23C39"/>
    <w:rsid w:val="7B0C96E1"/>
    <w:rsid w:val="7B4D37F4"/>
    <w:rsid w:val="7B4F6C10"/>
    <w:rsid w:val="7B8FC4E3"/>
    <w:rsid w:val="7BA31832"/>
    <w:rsid w:val="7BC8526C"/>
    <w:rsid w:val="7BD68EDE"/>
    <w:rsid w:val="7BDC0A21"/>
    <w:rsid w:val="7BF425F3"/>
    <w:rsid w:val="7C118725"/>
    <w:rsid w:val="7C1FB0AB"/>
    <w:rsid w:val="7C3F8D66"/>
    <w:rsid w:val="7C5D2498"/>
    <w:rsid w:val="7C79953C"/>
    <w:rsid w:val="7C7AE513"/>
    <w:rsid w:val="7C89C129"/>
    <w:rsid w:val="7CE01DFB"/>
    <w:rsid w:val="7D026A20"/>
    <w:rsid w:val="7D04A621"/>
    <w:rsid w:val="7D0BA19F"/>
    <w:rsid w:val="7D43EE5F"/>
    <w:rsid w:val="7D9D3B2C"/>
    <w:rsid w:val="7DBDF91D"/>
    <w:rsid w:val="7E0DD67F"/>
    <w:rsid w:val="7E36EC22"/>
    <w:rsid w:val="7EF9AC66"/>
    <w:rsid w:val="7F309FBD"/>
    <w:rsid w:val="7F6A14CE"/>
    <w:rsid w:val="7F83430D"/>
    <w:rsid w:val="7F87C439"/>
    <w:rsid w:val="7FAA0C3B"/>
    <w:rsid w:val="7FCE21A5"/>
    <w:rsid w:val="7FE10DCD"/>
    <w:rsid w:val="7FFA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43E7"/>
  <w15:chartTrackingRefBased/>
  <w15:docId w15:val="{6F49B1DE-0032-42A7-9F8B-F77A85B44B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624043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46240430"/>
    <w:rPr>
      <w:color w:val="467886"/>
      <w:u w:val="single"/>
    </w:rPr>
  </w:style>
  <w:style w:type="paragraph" w:styleId="ListParagraph">
    <w:uiPriority w:val="34"/>
    <w:name w:val="List Paragraph"/>
    <w:basedOn w:val="Normal"/>
    <w:qFormat/>
    <w:rsid w:val="1C525194"/>
    <w:pPr>
      <w:spacing/>
      <w:ind w:left="720"/>
      <w:contextualSpacing/>
    </w:pPr>
  </w:style>
  <w:style w:type="paragraph" w:styleId="Heading2">
    <w:uiPriority w:val="9"/>
    <w:name w:val="heading 2"/>
    <w:basedOn w:val="Normal"/>
    <w:next w:val="Normal"/>
    <w:unhideWhenUsed/>
    <w:qFormat/>
    <w:rsid w:val="643398C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Subtitle">
    <w:uiPriority w:val="11"/>
    <w:name w:val="Subtitle"/>
    <w:basedOn w:val="Normal"/>
    <w:next w:val="Normal"/>
    <w:qFormat/>
    <w:rsid w:val="57AF9593"/>
    <w:rPr>
      <w:rFonts w:eastAsia="" w:cs="" w:eastAsiaTheme="majorEastAsia" w:cstheme="majorBidi"/>
      <w:color w:val="595959" w:themeColor="text1" w:themeTint="A6" w:themeShade="FF"/>
      <w:sz w:val="28"/>
      <w:szCs w:val="28"/>
    </w:rPr>
  </w:style>
  <w:style w:type="paragraph" w:styleId="Title">
    <w:uiPriority w:val="10"/>
    <w:name w:val="Title"/>
    <w:basedOn w:val="Normal"/>
    <w:next w:val="Normal"/>
    <w:qFormat/>
    <w:rsid w:val="57AF959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3">
    <w:uiPriority w:val="9"/>
    <w:name w:val="heading 3"/>
    <w:basedOn w:val="Normal"/>
    <w:next w:val="Normal"/>
    <w:unhideWhenUsed/>
    <w:qFormat/>
    <w:rsid w:val="57AF9593"/>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0EE1397"/>
    <w:pPr>
      <w:tabs>
        <w:tab w:val="center" w:leader="none" w:pos="4680"/>
        <w:tab w:val="right" w:leader="none" w:pos="9360"/>
      </w:tabs>
      <w:spacing w:after="0" w:line="240" w:lineRule="auto"/>
    </w:pPr>
  </w:style>
  <w:style w:type="paragraph" w:styleId="Footer">
    <w:uiPriority w:val="99"/>
    <w:name w:val="footer"/>
    <w:basedOn w:val="Normal"/>
    <w:unhideWhenUsed/>
    <w:rsid w:val="40EE1397"/>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3a923f7a170424d" /><Relationship Type="http://schemas.openxmlformats.org/officeDocument/2006/relationships/numbering" Target="numbering.xml" Id="Rdd7f2c000bf140ff" /><Relationship Type="http://schemas.openxmlformats.org/officeDocument/2006/relationships/hyperlink" Target="https://card.mcmaster.ca/" TargetMode="External" Id="Re652cd249e604e47" /><Relationship Type="http://schemas.openxmlformats.org/officeDocument/2006/relationships/hyperlink" Target="https://www.rcsb.org/search?request=%7B%22query%22%3A%7B%22type%22%3A%22group%22%2C%22nodes%22%3A%5B%7B%22type%22%3A%22group%22%2C%22nodes%22%3A%5B%7B%22type%22%3A%22group%22%2C%22nodes%22%3A%5B%7B%22type%22%3A%22terminal%22%2C%22service%22%3A%22text%22%2C%22parameters%22%3A%7B%22attribute%22%3A%22rcsb_polymer_entity.pdbx_description%22%2C%22operator%22%3A%22exact_match%22%2C%22value%22%3A%22Multidrug%20resistance%20protein%20MexB%22%7D%7D%5D%2C%22logical_operator%22%3A%22and%22%7D%5D%2C%22logical_operator%22%3A%22and%22%2C%22label%22%3A%22text%22%7D%5D%2C%22logical_operator%22%3A%22and%22%7D%2C%22return_type%22%3A%22entry%22%2C%22request_options%22%3A%7B%7D%7D" TargetMode="External" Id="R6a49601d844a4fce" /><Relationship Type="http://schemas.openxmlformats.org/officeDocument/2006/relationships/hyperlink" Target="https://www.rcsb.org/search?request=%7B%22query%22%3A%7B%22type%22%3A%22group%22%2C%22nodes%22%3A%5B%7B%22type%22%3A%22group%22%2C%22nodes%22%3A%5B%7B%22type%22%3A%22group%22%2C%22nodes%22%3A%5B%7B%22type%22%3A%22terminal%22%2C%22service%22%3A%22text%22%2C%22parameters%22%3A%7B%22attribute%22%3A%22rcsb_entity_source_organism.taxonomy_lineage.name%22%2C%22operator%22%3A%22exact_match%22%2C%22value%22%3A%22Pseudomonas%20aeruginosa%20PAO1%22%7D%7D%5D%2C%22logical_operator%22%3A%22and%22%7D%5D%2C%22logical_operator%22%3A%22and%22%2C%22label%22%3A%22text%22%7D%5D%2C%22logical_operator%22%3A%22and%22%7D%2C%22return_type%22%3A%22entry%22%2C%22request_options%22%3A%7B%7D%7D" TargetMode="External" Id="R45fd3e0692424bab" /><Relationship Type="http://schemas.openxmlformats.org/officeDocument/2006/relationships/hyperlink" Target="https://www.rcsb.org/structure/3W9I" TargetMode="External" Id="R4d9f7af200e14c46" /><Relationship Type="http://schemas.openxmlformats.org/officeDocument/2006/relationships/hyperlink" Target="https://www.rcsb.org/search?request=%7B%22query%22%3A%7B%22type%22%3A%22group%22%2C%22nodes%22%3A%5B%7B%22type%22%3A%22group%22%2C%22nodes%22%3A%5B%7B%22type%22%3A%22group%22%2C%22nodes%22%3A%5B%7B%22type%22%3A%22terminal%22%2C%22service%22%3A%22text%22%2C%22parameters%22%3A%7B%22attribute%22%3A%22rcsb_polymer_entity.pdbx_description%22%2C%22operator%22%3A%22exact_match%22%2C%22value%22%3A%22Multidrug%20resistance%20protein%20MexB%22%7D%7D%5D%2C%22logical_operator%22%3A%22and%22%7D%5D%2C%22logical_operator%22%3A%22and%22%2C%22label%22%3A%22text%22%7D%5D%2C%22logical_operator%22%3A%22and%22%7D%2C%22return_type%22%3A%22entry%22%2C%22request_options%22%3A%7B%7D%7D" TargetMode="External" Id="R966d6fd36b014737" /><Relationship Type="http://schemas.openxmlformats.org/officeDocument/2006/relationships/hyperlink" Target="https://www.rcsb.org/search?request=%7B%22query%22%3A%7B%22type%22%3A%22group%22%2C%22nodes%22%3A%5B%7B%22type%22%3A%22group%22%2C%22nodes%22%3A%5B%7B%22type%22%3A%22group%22%2C%22nodes%22%3A%5B%7B%22type%22%3A%22terminal%22%2C%22service%22%3A%22text%22%2C%22parameters%22%3A%7B%22attribute%22%3A%22rcsb_entity_source_organism.taxonomy_lineage.name%22%2C%22operator%22%3A%22exact_match%22%2C%22value%22%3A%22Pseudomonas%20aeruginosa%20PAO1%22%7D%7D%5D%2C%22logical_operator%22%3A%22and%22%7D%5D%2C%22logical_operator%22%3A%22and%22%2C%22label%22%3A%22text%22%7D%5D%2C%22logical_operator%22%3A%22and%22%7D%2C%22return_type%22%3A%22entry%22%2C%22request_options%22%3A%7B%7D%7D" TargetMode="External" Id="Rfa642857b74b4e20" /><Relationship Type="http://schemas.openxmlformats.org/officeDocument/2006/relationships/hyperlink" Target="https://www.rcsb.org/structure/3W9J" TargetMode="External" Id="R56d3f549f2ab43ad" /><Relationship Type="http://schemas.openxmlformats.org/officeDocument/2006/relationships/hyperlink" Target="https://www.nature.com/articles/nature12300?utm_source=chatgpt.com#auth-Ryosuke-Nakashima-Aff1" TargetMode="External" Id="R92ba4f59cb2844bd" /><Relationship Type="http://schemas.openxmlformats.org/officeDocument/2006/relationships/hyperlink" Target="https://link.springer.com/article/10.1186/s13321-018-0285-8?utm_source=chatgpt.com#auth-Radoslav-Kriv_k-Aff1" TargetMode="External" Id="Rb25ea4a9edac4d0f" /><Relationship Type="http://schemas.openxmlformats.org/officeDocument/2006/relationships/hyperlink" Target="https://link.springer.com/article/10.1186/s13321-018-0285-8?utm_source=chatgpt.com#auth-Radoslav-Kriv_k-Aff1" TargetMode="External" Id="R3756327b5d6c40fe" /><Relationship Type="http://schemas.openxmlformats.org/officeDocument/2006/relationships/image" Target="/media/image.png" Id="rId1557132478" /><Relationship Type="http://schemas.openxmlformats.org/officeDocument/2006/relationships/hyperlink" Target="https://www.nature.com/articles/nature05076?utm_source=chatgpt.com#auth-Satoshi-Murakami-Aff1-Aff2-Aff3-Aff4-Aff6" TargetMode="External" Id="R74129552f4644f97" /><Relationship Type="http://schemas.openxmlformats.org/officeDocument/2006/relationships/hyperlink" Target="https://link.springer.com/article/10.1186/s13321-018-0285-8?utm_source=chatgpt.com#auth-Radoslav-Kriv_k-Aff1" TargetMode="External" Id="Re57859041cb745a6" /><Relationship Type="http://schemas.openxmlformats.org/officeDocument/2006/relationships/hyperlink" Target="https://www.nature.com/articles/nature12300?utm_source=chatgpt.com#auth-Ryosuke-Nakashima-Aff1" TargetMode="External" Id="R8b72effe06094f03" /><Relationship Type="http://schemas.openxmlformats.org/officeDocument/2006/relationships/hyperlink" Target="https://www.nature.com/articles/nature12300?utm_source=chatgpt.com#auth-Ryosuke-Nakashima-Aff1" TargetMode="External" Id="R612e3353dd4a43f1" /><Relationship Type="http://schemas.openxmlformats.org/officeDocument/2006/relationships/hyperlink" Target="https://www.nature.com/articles/nature12300?utm_source=chatgpt.com#auth-Ryosuke-Nakashima-Aff1" TargetMode="External" Id="R368946056b9b413d" /><Relationship Type="http://schemas.openxmlformats.org/officeDocument/2006/relationships/hyperlink" Target="https://www.nature.com/articles/nature12300?utm_source=chatgpt.com#auth-Ryosuke-Nakashima-Aff1" TargetMode="External" Id="Rfb3c87657dce45a5" /><Relationship Type="http://schemas.openxmlformats.org/officeDocument/2006/relationships/hyperlink" Target="https://link.springer.com/article/10.1186/s13321-018-0285-8?utm_source=chatgpt.com#auth-Radoslav-Kriv_k-Aff1" TargetMode="External" Id="R197ef5df0a3347ae" /><Relationship Type="http://schemas.openxmlformats.org/officeDocument/2006/relationships/hyperlink" Target="https://link.springer.com/article/10.1186/s13321-018-0285-8?utm_source=chatgpt.com#auth-Radoslav-Kriv_k-Aff1" TargetMode="External" Id="R3f2d800ab43f4cd8" /><Relationship Type="http://schemas.openxmlformats.org/officeDocument/2006/relationships/hyperlink" Target="https://www.nature.com/articles/nature12300?utm_source=chatgpt.com#auth-Ryosuke-Nakashima-Aff1" TargetMode="External" Id="Re4723965e2904f32" /><Relationship Type="http://schemas.openxmlformats.org/officeDocument/2006/relationships/hyperlink" Target="https://doi.org/10.1016/j.sbi.2024.102776" TargetMode="External" Id="R7ed2b8f5bf07494d" /><Relationship Type="http://schemas.openxmlformats.org/officeDocument/2006/relationships/hyperlink" Target="https://doi.org/10.3390/pharmaceutics15071916" TargetMode="External" Id="Rd59daec1867d4b02" /><Relationship Type="http://schemas.openxmlformats.org/officeDocument/2006/relationships/hyperlink" Target="https://doi.org/10.1021/acsnano.4c15013" TargetMode="External" Id="R932bea4790aa4aa2" /><Relationship Type="http://schemas.openxmlformats.org/officeDocument/2006/relationships/hyperlink" Target="https://doi.org/10.1038/s41586-023-06873-0" TargetMode="External" Id="R0c711f45a111400d" /><Relationship Type="http://schemas.openxmlformats.org/officeDocument/2006/relationships/hyperlink" Target="https://doi.org/10.1038/s41467-024-51144-9" TargetMode="External" Id="Rfa6836468d014ac9" /><Relationship Type="http://schemas.openxmlformats.org/officeDocument/2006/relationships/hyperlink" Target="https://doi.org/10.1016/j.crstbi.2025.100172" TargetMode="External" Id="Redf7e2b989424436" /><Relationship Type="http://schemas.openxmlformats.org/officeDocument/2006/relationships/hyperlink" Target="https://doi.org/10.1093/bib/bbaf343" TargetMode="External" Id="R901f6ebe151d40c3" /><Relationship Type="http://schemas.openxmlformats.org/officeDocument/2006/relationships/hyperlink" Target="https://doi.org/10.2147/IDR.S614240" TargetMode="External" Id="R934561bae1724f9f" /><Relationship Type="http://schemas.openxmlformats.org/officeDocument/2006/relationships/hyperlink" Target="https://doi.org/10.1002/advs.202502756" TargetMode="External" Id="Rf03d172b4dc94058" /><Relationship Type="http://schemas.openxmlformats.org/officeDocument/2006/relationships/hyperlink" Target="https://doi.org/10.1080/07391102.2025.2487203" TargetMode="External" Id="R9256651d5c834d92" /><Relationship Type="http://schemas.openxmlformats.org/officeDocument/2006/relationships/hyperlink" Target="https://doi.org/10.1038/nature12300" TargetMode="External" Id="R01b9e1d11efa4539" /><Relationship Type="http://schemas.openxmlformats.org/officeDocument/2006/relationships/hyperlink" Target="https://doi.org/10.1093/nar/28.1.235" TargetMode="External" Id="R10d70b45c3c94d2e" /><Relationship Type="http://schemas.openxmlformats.org/officeDocument/2006/relationships/hyperlink" Target="https://doi.org/10.1038/nature05076" TargetMode="External" Id="R294c73767d8b4985" /><Relationship Type="http://schemas.openxmlformats.org/officeDocument/2006/relationships/hyperlink" Target="https://doi.org/10.1186/s13321-018-0285-8" TargetMode="External" Id="R2f9c22adb95a4da3" /><Relationship Type="http://schemas.openxmlformats.org/officeDocument/2006/relationships/hyperlink" Target="https://doi.org/10.1021/acs.jcim.1c00203" TargetMode="External" Id="R897f309c4dfa4729" /><Relationship Type="http://schemas.openxmlformats.org/officeDocument/2006/relationships/hyperlink" Target="https://doi.org/10.1002/pro.3943" TargetMode="External" Id="Rd8d381c012934726" /><Relationship Type="http://schemas.openxmlformats.org/officeDocument/2006/relationships/hyperlink" Target="https://doi.org/10.1038/nature12300" TargetMode="External" Id="R2eac64ce790d4205" /><Relationship Type="http://schemas.openxmlformats.org/officeDocument/2006/relationships/hyperlink" Target="https://doi.org/10.1038/nature05076" TargetMode="External" Id="R554ce5b7826244b1" /><Relationship Type="http://schemas.openxmlformats.org/officeDocument/2006/relationships/hyperlink" Target="https://doi.org/10.1186/s13321-018-0285-8" TargetMode="External" Id="Rb50bd9f1e4634c0c" /><Relationship Type="http://schemas.openxmlformats.org/officeDocument/2006/relationships/hyperlink" Target="https://doi.org/10.1021/acs.jcim.1c00203" TargetMode="External" Id="Rae2e9506a2e64a9e" /><Relationship Type="http://schemas.openxmlformats.org/officeDocument/2006/relationships/hyperlink" Target="https://doi.org/10.1002/pro.3943" TargetMode="External" Id="R17835e27f60a4530" /><Relationship Type="http://schemas.openxmlformats.org/officeDocument/2006/relationships/header" Target="header.xml" Id="Rc02440051d6a426a" /><Relationship Type="http://schemas.openxmlformats.org/officeDocument/2006/relationships/footer" Target="footer.xml" Id="R76be621705b84292" /><Relationship Type="http://schemas.openxmlformats.org/officeDocument/2006/relationships/image" Target="/media/image.jpg" Id="rId9577340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2026-09-06T08:35:30.5908437Z</dcterms:created>
  <dcterms:modified xsi:type="dcterms:W3CDTF">2026-09-24T06:50:49.1448320Z</dcterms:modified>
  <dc:creator>Nehashree v</dc:creator>
  <lastModifiedBy>Nehashree v</lastModifiedBy>
</coreProperties>
</file>