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bank(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b_month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b_year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month_number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start_date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end_date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bank_name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no_atms_on_site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no_atms_off_site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no_pos_on_line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no_pos_off_line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no_credit_cards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no_credit_card_atm_txn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no_credit_card_pos_txn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no_credit_card_atm_txn_value_in_mn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no_credit_card_pos_txn_value_in_mn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no_debit_cards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no_debit_card_atm_txn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no_debit_card_pos_txn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no_debit_card_atm_txn_value_in_mn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no_debit_card_pos_txn_value_in_mn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bank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table, Excel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table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table&#10;&#10;Description automatically generated" id="4" name="image5.png"/>
            <a:graphic>
              <a:graphicData uri="http://schemas.openxmlformats.org/drawingml/2006/picture">
                <pic:pic>
                  <pic:nvPicPr>
                    <pic:cNvPr descr="Graphical user interface, tabl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