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**PADER Safety Report**</w:t>
      </w:r>
    </w:p>
    <w:p>
      <w:r>
        <w:t>### 1. Executive Summary</w:t>
      </w:r>
    </w:p>
    <w:p>
      <w:r>
        <w:t>This PADER safety report summarizes the safety data for a marketed product over a one-year reporting period, from December 27, 2024, to December 26, 2025. The report includes an analysis of 1024 cases, with a focus on serious cases, adverse event summaries, and demographic information.</w:t>
      </w:r>
    </w:p>
    <w:p>
      <w:r>
        <w:t>### 2. Case Summary</w:t>
      </w:r>
    </w:p>
    <w:p>
      <w:r>
        <w:t>A total of 1024 cases were reported during the one-year reporting period, with 1023 cases being serious and 1 case being non-serious. The majority of cases were reported from the EU (333 cases), the United Kingdom (278 cases), and France (186 cases).</w:t>
      </w:r>
    </w:p>
    <w:p>
      <w:r>
        <w:t>### 3. Serious Case Summary</w:t>
      </w:r>
    </w:p>
    <w:p>
      <w:r>
        <w:t>There were 1023 serious cases reported, with the most common serious reactions being Acute kidney injury (80 cases), Drug ineffective (53 cases), and Hypotension (46 cases). The majority of serious cases were reported in patients aged 76 and above (380 cases).</w:t>
      </w:r>
    </w:p>
    <w:p>
      <w:r>
        <w:t>### 4. Demographic Summary</w:t>
      </w:r>
    </w:p>
    <w:p>
      <w:r>
        <w:t>The demographic information of the patients who reported adverse events is as follows:</w:t>
      </w:r>
    </w:p>
    <w:p>
      <w:r>
        <w:t>- Sex: Female (503 cases), Male (493 cases), Unknown (28 cases)</w:t>
      </w:r>
    </w:p>
    <w:p>
      <w:r>
        <w:t>- Age: Mean age 70.07, Median age 73.0, Minimum age 1.0, Maximum age 104.0</w:t>
      </w:r>
    </w:p>
    <w:p>
      <w:r>
        <w:t>- Age groups: 76+ (380 cases), 61-75 (363 cases), 46-60 (134 cases), Unknown (84 cases), 31-45 (36 cases), &lt;18 (16 cases), 18-30 (11 cases)</w:t>
      </w:r>
    </w:p>
    <w:p>
      <w:r>
        <w:t>### 5. Adverse Event Summary</w:t>
      </w:r>
    </w:p>
    <w:p>
      <w:r>
        <w:t>The top 20 adverse reactions reported during the one-year reporting period were:</w:t>
      </w:r>
    </w:p>
    <w:p>
      <w:r>
        <w:t>- Acute kidney injury (80 cases)</w:t>
      </w:r>
    </w:p>
    <w:p>
      <w:r>
        <w:t>- Drug ineffective (54 cases)</w:t>
      </w:r>
    </w:p>
    <w:p>
      <w:r>
        <w:t>- Hypotension (46 cases)</w:t>
      </w:r>
    </w:p>
    <w:p>
      <w:r>
        <w:t>- Drug interaction (43 cases)</w:t>
      </w:r>
    </w:p>
    <w:p>
      <w:r>
        <w:t>- Dyspnoea (38 cases)</w:t>
      </w:r>
    </w:p>
    <w:p>
      <w:r>
        <w:t>- Bradycardia (37 cases)</w:t>
      </w:r>
    </w:p>
    <w:p>
      <w:r>
        <w:t>- Dizziness (36 cases)</w:t>
      </w:r>
    </w:p>
    <w:p>
      <w:r>
        <w:t>- Fatigue (33 cases)</w:t>
      </w:r>
    </w:p>
    <w:p>
      <w:r>
        <w:t>- Off label use (31 cases)</w:t>
      </w:r>
    </w:p>
    <w:p>
      <w:r>
        <w:t>- Fall (30 cases)</w:t>
      </w:r>
    </w:p>
    <w:p>
      <w:r>
        <w:t>- Diarrhoea (30 cases)</w:t>
      </w:r>
    </w:p>
    <w:p>
      <w:r>
        <w:t>- Condition aggravated (27 cases)</w:t>
      </w:r>
    </w:p>
    <w:p>
      <w:r>
        <w:t>- Hypokalaemia (27 cases)</w:t>
      </w:r>
    </w:p>
    <w:p>
      <w:r>
        <w:t>- Medication error (25 cases)</w:t>
      </w:r>
    </w:p>
    <w:p>
      <w:r>
        <w:t>- Asthenia (25 cases)</w:t>
      </w:r>
    </w:p>
    <w:p>
      <w:r>
        <w:t>- Hyponatraemia (24 cases)</w:t>
      </w:r>
    </w:p>
    <w:p>
      <w:r>
        <w:t>- Toxicity to various agents (23 cases)</w:t>
      </w:r>
    </w:p>
    <w:p>
      <w:r>
        <w:t>- Confusional state (23 cases)</w:t>
      </w:r>
    </w:p>
    <w:p>
      <w:r>
        <w:t>- Arthralgia (22 cases)</w:t>
      </w:r>
    </w:p>
    <w:p>
      <w:r>
        <w:t>- Anaemia (20 cases)</w:t>
      </w:r>
    </w:p>
    <w:p>
      <w:r>
        <w:t>### 6. Outcome Summary</w:t>
      </w:r>
    </w:p>
    <w:p>
      <w:r>
        <w:t>The outcomes of the reported cases are as follows:</w:t>
      </w:r>
    </w:p>
    <w:p>
      <w:r>
        <w:t>- Recovered/Resolved (494 cases)</w:t>
      </w:r>
    </w:p>
    <w:p>
      <w:r>
        <w:t>- Unknown (330 cases)</w:t>
      </w:r>
    </w:p>
    <w:p>
      <w:r>
        <w:t>- Recovering/Resolving (227 cases)</w:t>
      </w:r>
    </w:p>
    <w:p>
      <w:r>
        <w:t>- Not recovered/Not resolved/Ongoing (195 cases)</w:t>
      </w:r>
    </w:p>
    <w:p>
      <w:r>
        <w:t>- Fatal (68 cases)</w:t>
      </w:r>
    </w:p>
    <w:p>
      <w:r>
        <w:t>- Recovered/Resolved with sequelae (21 cases)</w:t>
      </w:r>
    </w:p>
    <w:p>
      <w:r>
        <w:t>### 7. Safety Findings</w:t>
      </w:r>
    </w:p>
    <w:p>
      <w:r>
        <w:t>The safety findings of this report indicate that the majority of cases were serious, with the most common serious reactions being Acute kidney injury, Drug ineffective, and Hypotension. The report also highlights the importance of monitoring patient characteristics, such as age and sex, in relation to adverse event reporting.</w:t>
      </w:r>
    </w:p>
    <w:p>
      <w:r>
        <w:t>### 8. PADER Guidance</w:t>
      </w:r>
    </w:p>
    <w:p>
      <w:r>
        <w:t>According to the PADER guidance, this report should include a narrative summary and analysis, a history of safety-related actions, and an index/listing of relevant adverse drug experiences. However, as no history of actions data is provided, this report explicitly states that no actions were reported.</w:t>
      </w:r>
    </w:p>
    <w:p>
      <w:r>
        <w:t>### 9. Conclusion</w:t>
      </w:r>
    </w:p>
    <w:p>
      <w:r>
        <w:t>In conclusion, this PADER safety report provides a comprehensive summary of the safety data for a marketed product over a one-year reporting period. The report highlights the importance of monitoring adverse event reporting, particularly in relation to serious cases and patient characteristics. The findings of this report will inform future safety assessments and regulatory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