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0D9488"/>
          <w:sz w:val="22"/>
        </w:rPr>
        <w:t>EMS PRO PLATFORM TECHNICAL DOCUMENTATION</w:t>
      </w:r>
    </w:p>
    <w:p>
      <w:pPr>
        <w:spacing w:before="240" w:after="160"/>
      </w:pPr>
      <w:r>
        <w:rPr>
          <w:b/>
          <w:color w:val="1E3A8A"/>
          <w:sz w:val="56"/>
        </w:rPr>
        <w:t>EMS Pro — Architecture Documentation</w:t>
      </w:r>
    </w:p>
    <w:p>
      <w:pPr>
        <w:spacing w:after="480"/>
      </w:pPr>
      <w:r>
        <w:rPr>
          <w:color w:val="475569"/>
          <w:sz w:val="26"/>
        </w:rPr>
        <w:t>System Topography, Multi-Tenancy Engine, Domain Boundaries &amp; Security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Document Classification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System &amp; Enterprise Architecture Guide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Platform Version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2.0.0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Target Audience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Engineering, DevOps, QA, Product &amp; Architecture Teams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Author / Organization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Infiria Systems - Core Engineering Team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Publication Date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September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1. Enterprise Architectural Principles</w:t>
      </w:r>
    </w:p>
    <w:p>
      <w:r>
        <w:t>The architecture of EMS Pro is engineered around strict domain boundaries, zero-trust tenant isolation, high availability, auditability, and deterministic financial math. It supports high-concurrency enterprise workloads while providing complete isolation between distinct client companies.</w:t>
      </w:r>
    </w:p>
    <w:p>
      <w:r>
        <w:rPr>
          <w:b/>
        </w:rPr>
        <w:t xml:space="preserve">• Zero-Trust Multi-Tenancy: </w:t>
      </w:r>
      <w:r>
        <w:t>Every tenant query is constrained by PostgreSQL Row-Level Security at the database kernel level, preventing logical bugs in application code from crossing company boundaries.</w:t>
      </w:r>
    </w:p>
    <w:p>
      <w:r>
        <w:rPr>
          <w:b/>
        </w:rPr>
        <w:t xml:space="preserve">• Stateless Micro-Modular Services: </w:t>
      </w:r>
      <w:r>
        <w:t>Business capabilities are isolated into 7 clean modules sharing standard interfaces, allowing independent evolution and straightforward transition to distributed microservices if required.</w:t>
      </w:r>
    </w:p>
    <w:p>
      <w:r>
        <w:rPr>
          <w:b/>
        </w:rPr>
        <w:t xml:space="preserve">• Strict Deterministic Financial Math: </w:t>
      </w:r>
      <w:r>
        <w:t>No floating-point approximations in payroll or CTC calculations. Python Decimal and PostgreSQL Numeric(12,2) with round_half_up math ensure statutory compliance.</w:t>
      </w:r>
    </w:p>
    <w:p>
      <w:r>
        <w:rPr>
          <w:b/>
        </w:rPr>
        <w:t xml:space="preserve">• Immutable Auditability: </w:t>
      </w:r>
      <w:r>
        <w:t>Critical actions (payroll runs, salary changes, resignations, company approvals) write append-only audit log records with actor IDs, client IPs, and timestamp hashes.</w:t>
      </w:r>
    </w:p>
    <w:p>
      <w:r>
        <w:rPr>
          <w:b/>
        </w:rPr>
        <w:t xml:space="preserve">• Asynchronous Decoupling: </w:t>
      </w:r>
      <w:r>
        <w:t>Resource-intensive operations like batch payroll calculation, payslip PDF rendering, and bulk notifications execute asynchronously via Redis and Celery workers without blocking HTTP request threads.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2. System Topography &amp; Deployment Architecture</w:t>
      </w:r>
    </w:p>
    <w:p>
      <w:r>
        <w:t>EMS Pro operates as a modern containerized topology deployed across secure VPC tiers:</w:t>
      </w:r>
    </w:p>
    <w:p>
      <w:r>
        <w:rPr>
          <w:rFonts w:ascii="Courier New" w:hAnsi="Courier New"/>
          <w:sz w:val="15"/>
        </w:rPr>
        <w:t xml:space="preserve">                    ┌──────────────────────────────────────────────┐</w:t>
        <w:br/>
        <w:t xml:space="preserve">                    │   Client Browser / Mobile PWA (React 18 SPA) │</w:t>
        <w:br/>
        <w:t xml:space="preserve">                    └──────────────────────┬───────────────────────┘</w:t>
        <w:br/>
        <w:t xml:space="preserve">                                           │ HTTPS / WSS</w:t>
        <w:br/>
        <w:t xml:space="preserve">                                           ▼</w:t>
        <w:br/>
        <w:t xml:space="preserve">                    ┌──────────────────────────────────────────────┐</w:t>
        <w:br/>
        <w:t xml:space="preserve">                    │   Reverse Proxy / API Gateway (Nginx / Cloud) │</w:t>
        <w:br/>
        <w:t xml:space="preserve">                    │   SSL Termination &amp; Rate-Limiting Buffer    │</w:t>
        <w:br/>
        <w:t xml:space="preserve">                    └──────────────────────┬───────────────────────┘</w:t>
        <w:br/>
        <w:t xml:space="preserve">                                           │ ASGI Proxy</w:t>
        <w:br/>
        <w:t xml:space="preserve">                                           ▼</w:t>
        <w:br/>
        <w:t xml:space="preserve">                    ┌──────────────────────────────────────────────┐</w:t>
        <w:br/>
        <w:t xml:space="preserve">                    │      FastAPI Application Cluster (Uvicorn)   │</w:t>
        <w:br/>
        <w:t xml:space="preserve">                    │  (Authentication, RBAC, Services, Routers)   │</w:t>
        <w:br/>
        <w:t xml:space="preserve">                    └───────┬───────────────────────────────┬──────┘</w:t>
        <w:br/>
        <w:t xml:space="preserve">                            │                               │ Task Dispatches</w:t>
        <w:br/>
        <w:t xml:space="preserve">                            │ RLS-bound connection pool     ▼</w:t>
        <w:br/>
        <w:t xml:space="preserve">                            ▼                     ┌──────────────────┐</w:t>
        <w:br/>
        <w:t xml:space="preserve">     ┌──────────────────────────────────────────┐ │ Redis 7 In-Memory│</w:t>
        <w:br/>
        <w:t xml:space="preserve">     │       PostgreSQL 16 Engine with RLS      │ │ Cache / Broker   │</w:t>
        <w:br/>
        <w:t xml:space="preserve">     │  - 38 Core Schemas &amp; Tables             │ └────────┬─────────┘</w:t>
        <w:br/>
        <w:t xml:space="preserve">     │  - Row-Level Security Policies (Tenant)  │          │ Queue Consumptions</w:t>
        <w:br/>
        <w:t xml:space="preserve">     │  - Read Replicas &amp; Automated Snapshots   │          ▼</w:t>
        <w:br/>
        <w:t xml:space="preserve">     └──────────────────────────────────────────┘ ┌──────────────────┐</w:t>
        <w:br/>
        <w:t xml:space="preserve">                                                  │ Celery Workers   │</w:t>
        <w:br/>
        <w:t xml:space="preserve">                                                  │ (Payroll/Exports)│</w:t>
        <w:br/>
        <w:t xml:space="preserve">                                                  └──────────────────┘</w:t>
        <w:br/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3. Multi-Tenancy &amp; Row-Level Security Engine</w:t>
      </w:r>
    </w:p>
    <w:p>
      <w:r>
        <w:t>Unlike naive SaaS architectures that filter queries solely by adding 'WHERE company_id = ...' in application code, EMS Pro adopts a defense-in-depth database RLS architecture. This provides two independent layers of protection: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3.1 Tenant Context Lifecycle</w:t>
      </w:r>
    </w:p>
    <w:p>
      <w:r>
        <w:t>1. Request Authentication: The client provides an Authorization Bearer token. The JWT contains the verified 'company_id' and 'role' signed by the platform private key.</w:t>
        <w:br/>
        <w:t>2. Database Session Binding: The FastAPI dependency get_tenant_db executes transaction-local session parameterization:</w:t>
        <w:br/>
        <w:t xml:space="preserve">     SELECT set_config('app.current_company_id', '&lt;company-uuid&gt;', true);</w:t>
        <w:br/>
        <w:t xml:space="preserve">     SELECT set_config('app.is_platform_admin', 'off', true);</w:t>
        <w:br/>
        <w:t>3. Kernel Policy Evaluation: Any SELECT, INSERT, UPDATE, or DELETE executed on tenant tables passes through PostgreSQL's policy evaluation engine. If a query attempts to read or mutate a row whose company_id does not match app.current_company_id, PostgreSQL automatically omits the row or raises an integrity error.</w:t>
        <w:br/>
        <w:t>4. Automatic Re-binding on Commit: Because 'is_local=true' clears configuration on transaction commit, SQLAlchemy's Session 'after_begin' listener intercepts subsequent transactions on the same session and reapplies the tenant context.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3.2 Super Admin Platform Isolation Bypass</w:t>
      </w:r>
    </w:p>
    <w:p>
      <w:r>
        <w:t>Platform Super Admins (role: super_admin) have global management privileges across all companies. When a Super Admin logs in, app.is_platform_admin is set to 'on', allowing global viewing of company metrics, pending company approvals, and tenant project management without causing tenant isolation conflicts.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4. Modular Domain Architecture (7 Core Subsystems)</w:t>
      </w:r>
    </w:p>
    <w:p>
      <w:r>
        <w:t>The platform functionality is decomposed into 7 primary domains, each encapsulated with zero circular dependencies: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Identity &amp; Access Management</w:t>
      </w:r>
    </w:p>
    <w:p>
      <w:r>
        <w:t>Manages Companies (registration, approval, onboarding), Users (Argon2id auth, 2FA, password resets), Refresh Tokens (family rotation), and RBAC hierarchy (super_admin, hr_admin, manager, employee).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Core HR &amp; Organization</w:t>
      </w:r>
    </w:p>
    <w:p>
      <w:r>
        <w:t>Maintains Employees (master profile, codes, levels L1-L6, hierarchy), Departments (hierarchical structure, department heads), Resignations, Offboarding workflows, and Full &amp; Final (FnF) settlements.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Time, Attendance &amp; Leave</w:t>
      </w:r>
    </w:p>
    <w:p>
      <w:r>
        <w:t>Biometric web check-in/out, geofenced logs, Shift scheduling (rotational, night allowance calculation), Holiday calendars, Annual Leave balances, and Multi-tier Leave approval state machines.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Statutory Payroll Engine</w:t>
      </w:r>
    </w:p>
    <w:p>
      <w:r>
        <w:t>Configures multi-tier Salary Structures (Basic, HRA, Allowances), Statutory rules (EPF 12% employee/employer, ESI 0.75%/3.25%, Professional Tax state slabs, Tax TDS), automated monthly Payroll Runs, and Reimbursements.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Performance Management</w:t>
      </w:r>
    </w:p>
    <w:p>
      <w:r>
        <w:t>Quarterly &amp; Annual Review Cycles, SMART Goal tracking (metrics, targets, progress), 360-degree Reviews (self, manager, HR), Reviewer scoring, and Bell curve performance distribution analysis.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Projects &amp; Workspace</w:t>
      </w:r>
    </w:p>
    <w:p>
      <w:r>
        <w:t>Project portfolio management, Team participation, Kanban Task boards (To Do, In Progress, Review, Done), Time Entry timesheets, billable hours tracking, and Project Milestone progression.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Platform Services</w:t>
      </w:r>
    </w:p>
    <w:p>
      <w:r>
        <w:t>Broadcast Announcements, Secure File Storage (HMAC SHA-256 signed temporary download links), Encrypted Employee Document vaults, Audit Logs, and Global Multi-Entity Search.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5. Core Data Flows &amp; Sequences</w:t>
      </w:r>
    </w:p>
    <w:p>
      <w:r>
        <w:t>Below are architectural sequences for the system's most critical operations: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5.1 Monthly Payroll Calculation &amp; Settlement Flow</w:t>
      </w:r>
    </w:p>
    <w:p>
      <w:pPr>
        <w:ind w:left="288"/>
      </w:pPr>
      <w:r>
        <w:t>1. HR Admin initiates monthly payroll execution via POST /api/v1/payroll/runs.</w:t>
      </w:r>
    </w:p>
    <w:p>
      <w:pPr>
        <w:ind w:left="288"/>
      </w:pPr>
      <w:r>
        <w:t>2. PayrollService locks active employees in the tenant and calculates working days from Attendance and Leave records.</w:t>
      </w:r>
    </w:p>
    <w:p>
      <w:pPr>
        <w:ind w:left="288"/>
      </w:pPr>
      <w:r>
        <w:t>3. Salary engine resolves gross earnings from active EmployeeSalary assignments.</w:t>
      </w:r>
    </w:p>
    <w:p>
      <w:pPr>
        <w:ind w:left="288"/>
      </w:pPr>
      <w:r>
        <w:t>4. Deductions computed: EPF (employee 12% capped), ESI (if gross &lt;= 21,000), Professional Tax (state slab lookup), and TDS.</w:t>
      </w:r>
    </w:p>
    <w:p>
      <w:pPr>
        <w:ind w:left="288"/>
      </w:pPr>
      <w:r>
        <w:t>5. Employer contributions computed: EPF (employer 12% split to EPS 8.33% / EPF 3.67%) and ESI (3.25%).</w:t>
      </w:r>
    </w:p>
    <w:p>
      <w:pPr>
        <w:ind w:left="288"/>
      </w:pPr>
      <w:r>
        <w:t>6. Approved Reimbursements within the pay period are attached and settled.</w:t>
      </w:r>
    </w:p>
    <w:p>
      <w:pPr>
        <w:ind w:left="288"/>
      </w:pPr>
      <w:r>
        <w:t>7. PayrollItem records persisted with immutable JSON snapshots (earnings_json, deductions_json).</w:t>
      </w:r>
    </w:p>
    <w:p>
      <w:pPr>
        <w:ind w:left="288"/>
      </w:pPr>
      <w:r>
        <w:t>8. Run marked as paid; employee payslips unlocked for self-service download.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6. Security Architecture &amp; Compliance Controls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Security Domain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Threat Mitigated</w:t>
            </w:r>
          </w:p>
        </w:tc>
        <w:tc>
          <w:tcPr>
            <w:tcW w:type="dxa" w:w="403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Architectural Control Implemented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Authentication</w:t>
            </w:r>
          </w:p>
        </w:tc>
        <w:tc>
          <w:tcPr>
            <w:tcW w:type="dxa" w:w="316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Brute-force &amp; Credential Stuffing</w:t>
            </w:r>
          </w:p>
        </w:tc>
        <w:tc>
          <w:tcPr>
            <w:tcW w:type="dxa" w:w="403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Argon2id memory-hard hashing, 15-min JWT lifespan, 5-attempt login lockout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Token Hijacking</w:t>
            </w:r>
          </w:p>
        </w:tc>
        <w:tc>
          <w:tcPr>
            <w:tcW w:type="dxa" w:w="316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XSS Access Token Theft</w:t>
            </w:r>
          </w:p>
        </w:tc>
        <w:tc>
          <w:tcPr>
            <w:tcW w:type="dxa" w:w="403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Refresh token stored exclusively in HttpOnly, SameSite=Lax cookie with rotation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Cross-Tenant Leakage</w:t>
            </w:r>
          </w:p>
        </w:tc>
        <w:tc>
          <w:tcPr>
            <w:tcW w:type="dxa" w:w="316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data exposure</w:t>
            </w:r>
          </w:p>
        </w:tc>
        <w:tc>
          <w:tcPr>
            <w:tcW w:type="dxa" w:w="403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PostgreSQL FORCE ROW LEVEL SECURITY with company_id matching policies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IDOR / Direct Object Reference</w:t>
            </w:r>
          </w:p>
        </w:tc>
        <w:tc>
          <w:tcPr>
            <w:tcW w:type="dxa" w:w="316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Unauthorized resource access</w:t>
            </w:r>
          </w:p>
        </w:tc>
        <w:tc>
          <w:tcPr>
            <w:tcW w:type="dxa" w:w="403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Repository-level company_id ownership check alongside database RLS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File Injection / Snooping</w:t>
            </w:r>
          </w:p>
        </w:tc>
        <w:tc>
          <w:tcPr>
            <w:tcW w:type="dxa" w:w="316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Malicious file execution</w:t>
            </w:r>
          </w:p>
        </w:tc>
        <w:tc>
          <w:tcPr>
            <w:tcW w:type="dxa" w:w="403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Uploads validated for MIME type, stored in isolated directory with HMAC signed URLs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Audit Tampering</w:t>
            </w:r>
          </w:p>
        </w:tc>
        <w:tc>
          <w:tcPr>
            <w:tcW w:type="dxa" w:w="316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Repudiation of sensitive actions</w:t>
            </w:r>
          </w:p>
        </w:tc>
        <w:tc>
          <w:tcPr>
            <w:tcW w:type="dxa" w:w="403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Append-only audit_logs table; delete/update triggers blocked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Data at Rest</w:t>
            </w:r>
          </w:p>
        </w:tc>
        <w:tc>
          <w:tcPr>
            <w:tcW w:type="dxa" w:w="316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Physical media compromise</w:t>
            </w:r>
          </w:p>
        </w:tc>
        <w:tc>
          <w:tcPr>
            <w:tcW w:type="dxa" w:w="403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PostgreSQL database volume encryption, AES-256 for sensitive KYC fields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7. Scalability &amp; Disaster Recovery Strategy</w:t>
      </w:r>
    </w:p>
    <w:p>
      <w:r>
        <w:t>EMS Pro is architected to scale horizontally. Stateless Uvicorn worker nodes can be added behind load balancers without session affinity. Database read-replicas support read-heavy dashboard and report queries. Point-in-time recovery (PITR) with continuous WAL archiving enables a Recovery Point Objective (RPO) &lt; 5 minutes and Recovery Time Objective (RTO) &lt; 30 minutes in case of catastrophic infrastructure failure.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