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80BFEC"/>
          <w:sz w:val="24"/>
          <w:szCs w:val="24"/>
        </w:rPr>
        <w:t xml:space="preserve">SILVERLEAF ACADEMY</w:t>
      </w:r>
    </w:p>
    <w:p>
      <w:pPr>
        <w:spacing w:after="100" w:before="200"/>
        <w:jc w:val="center"/>
      </w:pPr>
      <w:r>
        <w:rPr>
          <w:rFonts w:ascii="Calibri" w:cs="Calibri" w:eastAsia="Calibri" w:hAnsi="Calibri"/>
          <w:b/>
          <w:bCs/>
          <w:color w:val="002368"/>
          <w:sz w:val="56"/>
          <w:szCs w:val="56"/>
        </w:rPr>
        <w:t xml:space="preserve">Marketing &amp; Partnerships</w:t>
      </w:r>
    </w:p>
    <w:p>
      <w:pPr>
        <w:spacing w:after="500"/>
        <w:jc w:val="center"/>
      </w:pPr>
      <w:r>
        <w:rPr>
          <w:rFonts w:ascii="Calibri" w:cs="Calibri" w:eastAsia="Calibri" w:hAnsi="Calibri"/>
          <w:b/>
          <w:bCs/>
          <w:color w:val="002368"/>
          <w:sz w:val="40"/>
          <w:szCs w:val="40"/>
        </w:rPr>
        <w:t xml:space="preserve">Department Process Map</w:t>
      </w:r>
    </w:p>
    <w:p>
      <w:pPr>
        <w:jc w:val="center"/>
      </w:pPr>
      <w:r>
        <w:rPr>
          <w:rFonts w:ascii="Calibri" w:cs="Calibri" w:eastAsia="Calibri" w:hAnsi="Calibri"/>
          <w:color w:val="555555"/>
          <w:sz w:val="22"/>
          <w:szCs w:val="22"/>
        </w:rPr>
        <w:t xml:space="preserve">August 2026</w:t>
      </w:r>
    </w:p>
    <w:p>
      <w:r>
        <w:br w:type="page"/>
      </w:r>
    </w:p>
    <w:p>
      <w:pPr>
        <w:pStyle w:val="Heading1"/>
        <w:spacing w:after="200"/>
      </w:pPr>
      <w:r>
        <w:rPr>
          <w:rFonts w:ascii="Calibri" w:cs="Calibri" w:eastAsia="Calibri" w:hAnsi="Calibri"/>
          <w:b/>
          <w:bCs/>
          <w:color w:val="002368"/>
          <w:sz w:val="30"/>
          <w:szCs w:val="30"/>
        </w:rPr>
        <w:t xml:space="preserve">Overview</w:t>
      </w:r>
    </w:p>
    <w:p>
      <w:pPr>
        <w:spacing w:after="120"/>
      </w:pPr>
      <w:r>
        <w:rPr>
          <w:rFonts w:ascii="Calibri" w:cs="Calibri" w:eastAsia="Calibri" w:hAnsi="Calibri"/>
          <w:sz w:val="22"/>
          <w:szCs w:val="22"/>
        </w:rPr>
        <w:t xml:space="preserve">This document maps the ten core processes that run Silverleaf's Marketing &amp; Partnerships department, from campaign planning through to partnership management. Most of these currently run across a mix of WhatsApp, email, and separate documents, which makes it hard to see status at a glance or hand work off cleanly.</w:t>
      </w:r>
    </w:p>
    <w:p>
      <w:pPr>
        <w:spacing w:after="120"/>
      </w:pPr>
      <w:r>
        <w:rPr>
          <w:rFonts w:ascii="Calibri" w:cs="Calibri" w:eastAsia="Calibri" w:hAnsi="Calibri"/>
          <w:sz w:val="22"/>
          <w:szCs w:val="22"/>
        </w:rPr>
        <w:t xml:space="preserve">The goal is to bring these processes into a shared view before talking through what's realistic to automate or move into one system. Each process below sets out its workflow, why it matters to the department, and where automation could remove manual work.</w:t>
      </w:r>
    </w:p>
    <w:p>
      <w:pPr>
        <w:pBdr>
          <w:bottom w:val="single" w:color="D9D9D9" w:sz="6" w:space="1"/>
        </w:pBdr>
        <w:spacing w:after="300" w:before="100"/>
      </w:pPr>
    </w:p>
    <w:p>
      <w:pPr>
        <w:pStyle w:val="Heading1"/>
        <w:spacing w:after="200"/>
      </w:pPr>
      <w:r>
        <w:rPr>
          <w:rFonts w:ascii="Calibri" w:cs="Calibri" w:eastAsia="Calibri" w:hAnsi="Calibri"/>
          <w:b/>
          <w:bCs/>
          <w:color w:val="002368"/>
          <w:sz w:val="30"/>
          <w:szCs w:val="30"/>
        </w:rPr>
        <w:t xml:space="preserve">Contents</w:t>
      </w:r>
    </w:p>
    <w:p>
      <w:pPr>
        <w:spacing w:after="80"/>
      </w:pPr>
      <w:r>
        <w:rPr>
          <w:rFonts w:ascii="Calibri" w:cs="Calibri" w:eastAsia="Calibri" w:hAnsi="Calibri"/>
          <w:b/>
          <w:bCs/>
          <w:color w:val="002368"/>
          <w:sz w:val="22"/>
          <w:szCs w:val="22"/>
        </w:rPr>
        <w:t xml:space="preserve">1.  </w:t>
      </w:r>
      <w:r>
        <w:rPr>
          <w:rFonts w:ascii="Calibri" w:cs="Calibri" w:eastAsia="Calibri" w:hAnsi="Calibri"/>
          <w:sz w:val="22"/>
          <w:szCs w:val="22"/>
        </w:rPr>
        <w:t xml:space="preserve">Marketing Planning &amp; Campaign Management</w:t>
      </w:r>
    </w:p>
    <w:p>
      <w:pPr>
        <w:spacing w:after="80"/>
      </w:pPr>
      <w:r>
        <w:rPr>
          <w:rFonts w:ascii="Calibri" w:cs="Calibri" w:eastAsia="Calibri" w:hAnsi="Calibri"/>
          <w:b/>
          <w:bCs/>
          <w:color w:val="002368"/>
          <w:sz w:val="22"/>
          <w:szCs w:val="22"/>
        </w:rPr>
        <w:t xml:space="preserve">2.  </w:t>
      </w:r>
      <w:r>
        <w:rPr>
          <w:rFonts w:ascii="Calibri" w:cs="Calibri" w:eastAsia="Calibri" w:hAnsi="Calibri"/>
          <w:sz w:val="22"/>
          <w:szCs w:val="22"/>
        </w:rPr>
        <w:t xml:space="preserve">Content Planning &amp; Publishing</w:t>
      </w:r>
    </w:p>
    <w:p>
      <w:pPr>
        <w:spacing w:after="80"/>
      </w:pPr>
      <w:r>
        <w:rPr>
          <w:rFonts w:ascii="Calibri" w:cs="Calibri" w:eastAsia="Calibri" w:hAnsi="Calibri"/>
          <w:b/>
          <w:bCs/>
          <w:color w:val="002368"/>
          <w:sz w:val="22"/>
          <w:szCs w:val="22"/>
        </w:rPr>
        <w:t xml:space="preserve">3.  </w:t>
      </w:r>
      <w:r>
        <w:rPr>
          <w:rFonts w:ascii="Calibri" w:cs="Calibri" w:eastAsia="Calibri" w:hAnsi="Calibri"/>
          <w:sz w:val="22"/>
          <w:szCs w:val="22"/>
        </w:rPr>
        <w:t xml:space="preserve">Enrollment Lead Management</w:t>
      </w:r>
    </w:p>
    <w:p>
      <w:pPr>
        <w:spacing w:after="80"/>
      </w:pPr>
      <w:r>
        <w:rPr>
          <w:rFonts w:ascii="Calibri" w:cs="Calibri" w:eastAsia="Calibri" w:hAnsi="Calibri"/>
          <w:b/>
          <w:bCs/>
          <w:color w:val="002368"/>
          <w:sz w:val="22"/>
          <w:szCs w:val="22"/>
        </w:rPr>
        <w:t xml:space="preserve">4.  </w:t>
      </w:r>
      <w:r>
        <w:rPr>
          <w:rFonts w:ascii="Calibri" w:cs="Calibri" w:eastAsia="Calibri" w:hAnsi="Calibri"/>
          <w:sz w:val="22"/>
          <w:szCs w:val="22"/>
        </w:rPr>
        <w:t xml:space="preserve">Campaign Lead Generation &amp; Conversion</w:t>
      </w:r>
    </w:p>
    <w:p>
      <w:pPr>
        <w:spacing w:after="80"/>
      </w:pPr>
      <w:r>
        <w:rPr>
          <w:rFonts w:ascii="Calibri" w:cs="Calibri" w:eastAsia="Calibri" w:hAnsi="Calibri"/>
          <w:b/>
          <w:bCs/>
          <w:color w:val="002368"/>
          <w:sz w:val="22"/>
          <w:szCs w:val="22"/>
        </w:rPr>
        <w:t xml:space="preserve">5.  </w:t>
      </w:r>
      <w:r>
        <w:rPr>
          <w:rFonts w:ascii="Calibri" w:cs="Calibri" w:eastAsia="Calibri" w:hAnsi="Calibri"/>
          <w:sz w:val="22"/>
          <w:szCs w:val="22"/>
        </w:rPr>
        <w:t xml:space="preserve">Parent Communication &amp; Engagement</w:t>
      </w:r>
    </w:p>
    <w:p>
      <w:pPr>
        <w:spacing w:after="80"/>
      </w:pPr>
      <w:r>
        <w:rPr>
          <w:rFonts w:ascii="Calibri" w:cs="Calibri" w:eastAsia="Calibri" w:hAnsi="Calibri"/>
          <w:b/>
          <w:bCs/>
          <w:color w:val="002368"/>
          <w:sz w:val="22"/>
          <w:szCs w:val="22"/>
        </w:rPr>
        <w:t xml:space="preserve">6.  </w:t>
      </w:r>
      <w:r>
        <w:rPr>
          <w:rFonts w:ascii="Calibri" w:cs="Calibri" w:eastAsia="Calibri" w:hAnsi="Calibri"/>
          <w:sz w:val="22"/>
          <w:szCs w:val="22"/>
        </w:rPr>
        <w:t xml:space="preserve">Event &amp; Community Activation Management</w:t>
      </w:r>
    </w:p>
    <w:p>
      <w:pPr>
        <w:spacing w:after="80"/>
      </w:pPr>
      <w:r>
        <w:rPr>
          <w:rFonts w:ascii="Calibri" w:cs="Calibri" w:eastAsia="Calibri" w:hAnsi="Calibri"/>
          <w:b/>
          <w:bCs/>
          <w:color w:val="002368"/>
          <w:sz w:val="22"/>
          <w:szCs w:val="22"/>
        </w:rPr>
        <w:t xml:space="preserve">7.  </w:t>
      </w:r>
      <w:r>
        <w:rPr>
          <w:rFonts w:ascii="Calibri" w:cs="Calibri" w:eastAsia="Calibri" w:hAnsi="Calibri"/>
          <w:sz w:val="22"/>
          <w:szCs w:val="22"/>
        </w:rPr>
        <w:t xml:space="preserve">Website &amp; Digital Content Management</w:t>
      </w:r>
    </w:p>
    <w:p>
      <w:pPr>
        <w:spacing w:after="80"/>
      </w:pPr>
      <w:r>
        <w:rPr>
          <w:rFonts w:ascii="Calibri" w:cs="Calibri" w:eastAsia="Calibri" w:hAnsi="Calibri"/>
          <w:b/>
          <w:bCs/>
          <w:color w:val="002368"/>
          <w:sz w:val="22"/>
          <w:szCs w:val="22"/>
        </w:rPr>
        <w:t xml:space="preserve">8.  </w:t>
      </w:r>
      <w:r>
        <w:rPr>
          <w:rFonts w:ascii="Calibri" w:cs="Calibri" w:eastAsia="Calibri" w:hAnsi="Calibri"/>
          <w:sz w:val="22"/>
          <w:szCs w:val="22"/>
        </w:rPr>
        <w:t xml:space="preserve">Marketing Performance &amp; Reporting</w:t>
      </w:r>
    </w:p>
    <w:p>
      <w:pPr>
        <w:spacing w:after="80"/>
      </w:pPr>
      <w:r>
        <w:rPr>
          <w:rFonts w:ascii="Calibri" w:cs="Calibri" w:eastAsia="Calibri" w:hAnsi="Calibri"/>
          <w:b/>
          <w:bCs/>
          <w:color w:val="002368"/>
          <w:sz w:val="22"/>
          <w:szCs w:val="22"/>
        </w:rPr>
        <w:t xml:space="preserve">9.  </w:t>
      </w:r>
      <w:r>
        <w:rPr>
          <w:rFonts w:ascii="Calibri" w:cs="Calibri" w:eastAsia="Calibri" w:hAnsi="Calibri"/>
          <w:sz w:val="22"/>
          <w:szCs w:val="22"/>
        </w:rPr>
        <w:t xml:space="preserve">Partnership &amp; Outreach Management</w:t>
      </w:r>
    </w:p>
    <w:p>
      <w:pPr>
        <w:spacing w:after="80"/>
      </w:pPr>
      <w:r>
        <w:rPr>
          <w:rFonts w:ascii="Calibri" w:cs="Calibri" w:eastAsia="Calibri" w:hAnsi="Calibri"/>
          <w:b/>
          <w:bCs/>
          <w:color w:val="002368"/>
          <w:sz w:val="22"/>
          <w:szCs w:val="22"/>
        </w:rPr>
        <w:t xml:space="preserve">10.  </w:t>
      </w:r>
      <w:r>
        <w:rPr>
          <w:rFonts w:ascii="Calibri" w:cs="Calibri" w:eastAsia="Calibri" w:hAnsi="Calibri"/>
          <w:sz w:val="22"/>
          <w:szCs w:val="22"/>
        </w:rPr>
        <w:t xml:space="preserve">Marketing Asset &amp; Brand Management</w:t>
      </w:r>
    </w:p>
    <w:p>
      <w:r>
        <w:br w:type="page"/>
      </w:r>
    </w:p>
    <w:p>
      <w:pPr>
        <w:pStyle w:val="Heading1"/>
        <w:spacing w:after="160" w:before="400"/>
      </w:pPr>
      <w:r>
        <w:rPr>
          <w:rFonts w:ascii="Calibri" w:cs="Calibri" w:eastAsia="Calibri" w:hAnsi="Calibri"/>
          <w:b/>
          <w:bCs/>
          <w:color w:val="002368"/>
          <w:sz w:val="30"/>
          <w:szCs w:val="30"/>
        </w:rPr>
        <w:t xml:space="preserve">1. Marketing Planning &amp; Campaign Management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Give every campaign a single, visible path from strategy to execution, rather than tracking pieces of it across WhatsApp, email, and separate documents.</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Strategy  →  Campaign brief  →  Activities  →  Owners  →  Deadlines  →  Execution  →  Review</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This is the foundation the Marketing Strategy and Gantt Chart Rock already depend on. Every other campaign process in this document connects back to it.</w:t>
      </w:r>
    </w:p>
    <w:p>
      <w:pPr>
        <w:spacing w:after="60" w:before="200"/>
      </w:pPr>
      <w:r>
        <w:rPr>
          <w:rFonts w:ascii="Calibri" w:cs="Calibri" w:eastAsia="Calibri" w:hAnsi="Calibri"/>
          <w:b/>
          <w:bCs/>
          <w:color w:val="002368"/>
          <w:sz w:val="18"/>
          <w:szCs w:val="18"/>
        </w:rPr>
        <w:t xml:space="preserve">AUTOMATION OPPORTUNITIES</w:t>
      </w:r>
    </w:p>
    <w:p>
      <w:pPr>
        <w:pStyle w:val="ListParagraph"/>
        <w:numPr>
          <w:ilvl w:val="0"/>
          <w:numId w:val="2"/>
        </w:numPr>
        <w:spacing w:after="60"/>
      </w:pPr>
      <w:r>
        <w:rPr>
          <w:rFonts w:ascii="Calibri" w:cs="Calibri" w:eastAsia="Calibri" w:hAnsi="Calibri"/>
          <w:sz w:val="22"/>
          <w:szCs w:val="22"/>
        </w:rPr>
        <w:t xml:space="preserve">Automatic reminders and task assignments</w:t>
      </w:r>
    </w:p>
    <w:p>
      <w:pPr>
        <w:pStyle w:val="ListParagraph"/>
        <w:numPr>
          <w:ilvl w:val="0"/>
          <w:numId w:val="2"/>
        </w:numPr>
        <w:spacing w:after="60"/>
      </w:pPr>
      <w:r>
        <w:rPr>
          <w:rFonts w:ascii="Calibri" w:cs="Calibri" w:eastAsia="Calibri" w:hAnsi="Calibri"/>
          <w:sz w:val="22"/>
          <w:szCs w:val="22"/>
        </w:rPr>
        <w:t xml:space="preserve">Deadline alerts</w:t>
      </w:r>
    </w:p>
    <w:p>
      <w:pPr>
        <w:pStyle w:val="ListParagraph"/>
        <w:numPr>
          <w:ilvl w:val="0"/>
          <w:numId w:val="2"/>
        </w:numPr>
        <w:spacing w:after="60"/>
      </w:pPr>
      <w:r>
        <w:rPr>
          <w:rFonts w:ascii="Calibri" w:cs="Calibri" w:eastAsia="Calibri" w:hAnsi="Calibri"/>
          <w:sz w:val="22"/>
          <w:szCs w:val="22"/>
        </w:rPr>
        <w:t xml:space="preserve">A live campaign status dashboard</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2. Content Planning &amp; Publishing</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Move content from idea to published post to performance review in one tracked line, rather than losing pieces of it between planning and posting.</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Content idea  →  Brief  →  Copy / design / video  →  Approval  →  Scheduling  →  Publishing  →  Performance review</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Builds directly on the content calendar and social posting process already in place.</w:t>
      </w:r>
    </w:p>
    <w:p>
      <w:pPr>
        <w:spacing w:after="60" w:before="200"/>
      </w:pPr>
      <w:r>
        <w:rPr>
          <w:rFonts w:ascii="Calibri" w:cs="Calibri" w:eastAsia="Calibri" w:hAnsi="Calibri"/>
          <w:b/>
          <w:bCs/>
          <w:color w:val="002368"/>
          <w:sz w:val="18"/>
          <w:szCs w:val="18"/>
        </w:rPr>
        <w:t xml:space="preserve">AUTOMATION OPPORTUNITIES</w:t>
      </w:r>
    </w:p>
    <w:p>
      <w:pPr>
        <w:pStyle w:val="ListParagraph"/>
        <w:numPr>
          <w:ilvl w:val="0"/>
          <w:numId w:val="2"/>
        </w:numPr>
        <w:spacing w:after="60"/>
      </w:pPr>
      <w:r>
        <w:rPr>
          <w:rFonts w:ascii="Calibri" w:cs="Calibri" w:eastAsia="Calibri" w:hAnsi="Calibri"/>
          <w:sz w:val="22"/>
          <w:szCs w:val="22"/>
        </w:rPr>
        <w:t xml:space="preserve">Shared content calendar</w:t>
      </w:r>
    </w:p>
    <w:p>
      <w:pPr>
        <w:pStyle w:val="ListParagraph"/>
        <w:numPr>
          <w:ilvl w:val="0"/>
          <w:numId w:val="2"/>
        </w:numPr>
        <w:spacing w:after="60"/>
      </w:pPr>
      <w:r>
        <w:rPr>
          <w:rFonts w:ascii="Calibri" w:cs="Calibri" w:eastAsia="Calibri" w:hAnsi="Calibri"/>
          <w:sz w:val="22"/>
          <w:szCs w:val="22"/>
        </w:rPr>
        <w:t xml:space="preserve">Approval workflow</w:t>
      </w:r>
    </w:p>
    <w:p>
      <w:pPr>
        <w:pStyle w:val="ListParagraph"/>
        <w:numPr>
          <w:ilvl w:val="0"/>
          <w:numId w:val="2"/>
        </w:numPr>
        <w:spacing w:after="60"/>
      </w:pPr>
      <w:r>
        <w:rPr>
          <w:rFonts w:ascii="Calibri" w:cs="Calibri" w:eastAsia="Calibri" w:hAnsi="Calibri"/>
          <w:sz w:val="22"/>
          <w:szCs w:val="22"/>
        </w:rPr>
        <w:t xml:space="preserve">Scheduled publishing</w:t>
      </w:r>
    </w:p>
    <w:p>
      <w:pPr>
        <w:pStyle w:val="ListParagraph"/>
        <w:numPr>
          <w:ilvl w:val="0"/>
          <w:numId w:val="2"/>
        </w:numPr>
        <w:spacing w:after="60"/>
      </w:pPr>
      <w:r>
        <w:rPr>
          <w:rFonts w:ascii="Calibri" w:cs="Calibri" w:eastAsia="Calibri" w:hAnsi="Calibri"/>
          <w:sz w:val="22"/>
          <w:szCs w:val="22"/>
        </w:rPr>
        <w:t xml:space="preserve">Automatic performance reporting</w:t>
      </w:r>
    </w:p>
    <w:p>
      <w:pPr>
        <w:spacing w:after="60" w:before="200"/>
      </w:pPr>
      <w:r>
        <w:rPr>
          <w:rFonts w:ascii="Calibri" w:cs="Calibri" w:eastAsia="Calibri" w:hAnsi="Calibri"/>
          <w:b/>
          <w:bCs/>
          <w:color w:val="002368"/>
          <w:sz w:val="18"/>
          <w:szCs w:val="18"/>
        </w:rPr>
        <w:t xml:space="preserve">KEY OUTPUT</w:t>
      </w:r>
    </w:p>
    <w:p>
      <w:pPr>
        <w:spacing w:after="120"/>
      </w:pPr>
      <w:r>
        <w:rPr>
          <w:rFonts w:ascii="Calibri" w:cs="Calibri" w:eastAsia="Calibri" w:hAnsi="Calibri"/>
          <w:sz w:val="22"/>
          <w:szCs w:val="22"/>
        </w:rPr>
        <w:t xml:space="preserve">A clear, ongoing comparison of what was planned versus what was actually published.</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3. Enrollment Lead Management</w:t>
      </w:r>
    </w:p>
    <w:p>
      <w:pPr>
        <w:spacing w:after="120"/>
      </w:pPr>
      <w:r>
        <w:rPr>
          <w:rFonts w:ascii="Calibri" w:cs="Calibri" w:eastAsia="Calibri" w:hAnsi="Calibri"/>
          <w:b/>
          <w:bCs/>
          <w:color w:val="8A6D00"/>
          <w:sz w:val="17"/>
          <w:szCs w:val="17"/>
        </w:rPr>
        <w:t xml:space="preserve">HIGHEST PRIORITY FOR SILVERLEAF</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Make sure no inquiry is ever lost, from first contact through to enrollment or nurture.</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Inquiry  →  Capture lead  →  Assign campus  →  Follow-up  →  Qualify  →  Visit / application  →  Enrollment  →  Lost / nurture</w:t>
      </w:r>
    </w:p>
    <w:p>
      <w:pPr>
        <w:spacing w:after="60" w:before="200"/>
      </w:pPr>
      <w:r>
        <w:rPr>
          <w:rFonts w:ascii="Calibri" w:cs="Calibri" w:eastAsia="Calibri" w:hAnsi="Calibri"/>
          <w:b/>
          <w:bCs/>
          <w:color w:val="002368"/>
          <w:sz w:val="18"/>
          <w:szCs w:val="18"/>
        </w:rPr>
        <w:t xml:space="preserve">AUTOMATION OPPORTUNITIES</w:t>
      </w:r>
    </w:p>
    <w:p>
      <w:pPr>
        <w:pStyle w:val="ListParagraph"/>
        <w:numPr>
          <w:ilvl w:val="0"/>
          <w:numId w:val="2"/>
        </w:numPr>
        <w:spacing w:after="60"/>
      </w:pPr>
      <w:r>
        <w:rPr>
          <w:rFonts w:ascii="Calibri" w:cs="Calibri" w:eastAsia="Calibri" w:hAnsi="Calibri"/>
          <w:sz w:val="22"/>
          <w:szCs w:val="22"/>
        </w:rPr>
        <w:t xml:space="preserve">Automatic lead assignment by campus</w:t>
      </w:r>
    </w:p>
    <w:p>
      <w:pPr>
        <w:pStyle w:val="ListParagraph"/>
        <w:numPr>
          <w:ilvl w:val="0"/>
          <w:numId w:val="2"/>
        </w:numPr>
        <w:spacing w:after="60"/>
      </w:pPr>
      <w:r>
        <w:rPr>
          <w:rFonts w:ascii="Calibri" w:cs="Calibri" w:eastAsia="Calibri" w:hAnsi="Calibri"/>
          <w:sz w:val="22"/>
          <w:szCs w:val="22"/>
        </w:rPr>
        <w:t xml:space="preserve">Follow-up reminders</w:t>
      </w:r>
    </w:p>
    <w:p>
      <w:pPr>
        <w:pStyle w:val="ListParagraph"/>
        <w:numPr>
          <w:ilvl w:val="0"/>
          <w:numId w:val="2"/>
        </w:numPr>
        <w:spacing w:after="60"/>
      </w:pPr>
      <w:r>
        <w:rPr>
          <w:rFonts w:ascii="Calibri" w:cs="Calibri" w:eastAsia="Calibri" w:hAnsi="Calibri"/>
          <w:sz w:val="22"/>
          <w:szCs w:val="22"/>
        </w:rPr>
        <w:t xml:space="preserve">WhatsApp / email auto-responses</w:t>
      </w:r>
    </w:p>
    <w:p>
      <w:pPr>
        <w:pStyle w:val="ListParagraph"/>
        <w:numPr>
          <w:ilvl w:val="0"/>
          <w:numId w:val="2"/>
        </w:numPr>
        <w:spacing w:after="60"/>
      </w:pPr>
      <w:r>
        <w:rPr>
          <w:rFonts w:ascii="Calibri" w:cs="Calibri" w:eastAsia="Calibri" w:hAnsi="Calibri"/>
          <w:sz w:val="22"/>
          <w:szCs w:val="22"/>
        </w:rPr>
        <w:t xml:space="preserve">Lead status updates and conversion reporting</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4. Campaign Lead Generation &amp; Conversion</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Track leads back to the specific campaign that produced them — a different question from day-to-day lead management, and one that answers which campaigns are actually producing enrollments rather than just impressions, likes, and reach.</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Campaign launched  →  Audience reached  →  Inquiry generated  →  Lead captured  →  Follow-up  →  Conversion  →  Campaign ROI</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5. Parent Communication &amp; Engagement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Deliver the right message to the right parent segment, connected directly to the parent profiling and retention Rocks.</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Parent segment  →  Communication objective  →  Message / content  →  Channel  →  Send  →  Engagement  →  Feedback  →  Follow-up</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Segments to plan communications around: new parents, existing parents, prospective parents, parents considering secondary school, and highly engaged or referral parents.</w:t>
      </w:r>
    </w:p>
    <w:p>
      <w:pPr>
        <w:spacing w:after="60" w:before="200"/>
      </w:pPr>
      <w:r>
        <w:rPr>
          <w:rFonts w:ascii="Calibri" w:cs="Calibri" w:eastAsia="Calibri" w:hAnsi="Calibri"/>
          <w:b/>
          <w:bCs/>
          <w:color w:val="002368"/>
          <w:sz w:val="18"/>
          <w:szCs w:val="18"/>
        </w:rPr>
        <w:t xml:space="preserve">AUTOMATION OPPORTUNITIES</w:t>
      </w:r>
    </w:p>
    <w:p>
      <w:pPr>
        <w:pStyle w:val="ListParagraph"/>
        <w:numPr>
          <w:ilvl w:val="0"/>
          <w:numId w:val="2"/>
        </w:numPr>
        <w:spacing w:after="60"/>
      </w:pPr>
      <w:r>
        <w:rPr>
          <w:rFonts w:ascii="Calibri" w:cs="Calibri" w:eastAsia="Calibri" w:hAnsi="Calibri"/>
          <w:sz w:val="22"/>
          <w:szCs w:val="22"/>
        </w:rPr>
        <w:t xml:space="preserve">Segmentation</w:t>
      </w:r>
    </w:p>
    <w:p>
      <w:pPr>
        <w:pStyle w:val="ListParagraph"/>
        <w:numPr>
          <w:ilvl w:val="0"/>
          <w:numId w:val="2"/>
        </w:numPr>
        <w:spacing w:after="60"/>
      </w:pPr>
      <w:r>
        <w:rPr>
          <w:rFonts w:ascii="Calibri" w:cs="Calibri" w:eastAsia="Calibri" w:hAnsi="Calibri"/>
          <w:sz w:val="22"/>
          <w:szCs w:val="22"/>
        </w:rPr>
        <w:t xml:space="preserve">Scheduled communications</w:t>
      </w:r>
    </w:p>
    <w:p>
      <w:pPr>
        <w:pStyle w:val="ListParagraph"/>
        <w:numPr>
          <w:ilvl w:val="0"/>
          <w:numId w:val="2"/>
        </w:numPr>
        <w:spacing w:after="60"/>
      </w:pPr>
      <w:r>
        <w:rPr>
          <w:rFonts w:ascii="Calibri" w:cs="Calibri" w:eastAsia="Calibri" w:hAnsi="Calibri"/>
          <w:sz w:val="22"/>
          <w:szCs w:val="22"/>
        </w:rPr>
        <w:t xml:space="preserve">Reminders</w:t>
      </w:r>
    </w:p>
    <w:p>
      <w:pPr>
        <w:pStyle w:val="ListParagraph"/>
        <w:numPr>
          <w:ilvl w:val="0"/>
          <w:numId w:val="2"/>
        </w:numPr>
        <w:spacing w:after="60"/>
      </w:pPr>
      <w:r>
        <w:rPr>
          <w:rFonts w:ascii="Calibri" w:cs="Calibri" w:eastAsia="Calibri" w:hAnsi="Calibri"/>
          <w:sz w:val="22"/>
          <w:szCs w:val="22"/>
        </w:rPr>
        <w:t xml:space="preserve">Engagement tracking</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6. Event &amp; Community Activation Management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Treat every event as a lead-generation channel, not just an activity — particularly relevant for the Dodoma activation and other campus enrollment initiatives.</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Identify opportunity  →  Plan event  →  Budget  →  Promotion  →  Registration  →  Attendance  →  Leads  →  Follow-up  →  Enrollment outcome</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An event isn't successful simply because it happened. It should be tracked through to outcome: Event → Leads → Qualified Leads → Applications → Enrollments.</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7. Website &amp; Digital Content Management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Give every website change a clear, trackable path from request to published result.</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Content / change request  →  Approval  →  Update  →  QA  →  Publish  →  Monitor  →  Report</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Covers website updates, admissions information, campus pages, testimonials, success stories, events, and SEO or content updates.</w:t>
      </w:r>
    </w:p>
    <w:p>
      <w:pPr>
        <w:spacing w:after="60" w:before="200"/>
      </w:pPr>
      <w:r>
        <w:rPr>
          <w:rFonts w:ascii="Calibri" w:cs="Calibri" w:eastAsia="Calibri" w:hAnsi="Calibri"/>
          <w:b/>
          <w:bCs/>
          <w:color w:val="002368"/>
          <w:sz w:val="18"/>
          <w:szCs w:val="18"/>
        </w:rPr>
        <w:t xml:space="preserve">AUTOMATION OPPORTUNITIES</w:t>
      </w:r>
    </w:p>
    <w:p>
      <w:pPr>
        <w:pStyle w:val="ListParagraph"/>
        <w:numPr>
          <w:ilvl w:val="0"/>
          <w:numId w:val="2"/>
        </w:numPr>
        <w:spacing w:after="60"/>
      </w:pPr>
      <w:r>
        <w:rPr>
          <w:rFonts w:ascii="Calibri" w:cs="Calibri" w:eastAsia="Calibri" w:hAnsi="Calibri"/>
          <w:sz w:val="22"/>
          <w:szCs w:val="22"/>
        </w:rPr>
        <w:t xml:space="preserve">Content request forms</w:t>
      </w:r>
    </w:p>
    <w:p>
      <w:pPr>
        <w:pStyle w:val="ListParagraph"/>
        <w:numPr>
          <w:ilvl w:val="0"/>
          <w:numId w:val="2"/>
        </w:numPr>
        <w:spacing w:after="60"/>
      </w:pPr>
      <w:r>
        <w:rPr>
          <w:rFonts w:ascii="Calibri" w:cs="Calibri" w:eastAsia="Calibri" w:hAnsi="Calibri"/>
          <w:sz w:val="22"/>
          <w:szCs w:val="22"/>
        </w:rPr>
        <w:t xml:space="preserve">Approval tracking</w:t>
      </w:r>
    </w:p>
    <w:p>
      <w:pPr>
        <w:pStyle w:val="ListParagraph"/>
        <w:numPr>
          <w:ilvl w:val="0"/>
          <w:numId w:val="2"/>
        </w:numPr>
        <w:spacing w:after="60"/>
      </w:pPr>
      <w:r>
        <w:rPr>
          <w:rFonts w:ascii="Calibri" w:cs="Calibri" w:eastAsia="Calibri" w:hAnsi="Calibri"/>
          <w:sz w:val="22"/>
          <w:szCs w:val="22"/>
        </w:rPr>
        <w:t xml:space="preserve">Publishing schedules</w:t>
      </w:r>
    </w:p>
    <w:p>
      <w:pPr>
        <w:pStyle w:val="ListParagraph"/>
        <w:numPr>
          <w:ilvl w:val="0"/>
          <w:numId w:val="2"/>
        </w:numPr>
        <w:spacing w:after="60"/>
      </w:pPr>
      <w:r>
        <w:rPr>
          <w:rFonts w:ascii="Calibri" w:cs="Calibri" w:eastAsia="Calibri" w:hAnsi="Calibri"/>
          <w:sz w:val="22"/>
          <w:szCs w:val="22"/>
        </w:rPr>
        <w:t xml:space="preserve">Update reminders</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8. Marketing Performance &amp; Reporting</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Give the department one place to see the full funnel — reach, engagement, leads, applications, enrollment, cost, and conversion — instead of reporting on activity alone.</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Data collected  →  Consolidated  →  Dashboard  →  Weekly / monthly review  →  Issues identified  →  Action  →  Report to leadership</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This is where the department becomes data-driven rather than activity-driven.</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9. Partnership &amp; Outreach Management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Bring Partnerships into the same system as the rest of the department, since it already sits within it.</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Identify partner  →  Outreach  →  Meeting  →  Proposal  →  Agreement / MOU  →  Activation  →  Leads / referrals  →  Relationship management</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Partner stages to track: Prospect → Contacted → Engaged → Negotiating → Active → Producing Results. This would also give the existing partnership tracker a clearer structure.</w:t>
      </w:r>
    </w:p>
    <w:p>
      <w:pPr>
        <w:pBdr>
          <w:bottom w:val="single" w:color="D9D9D9" w:sz="6" w:space="1"/>
        </w:pBdr>
        <w:spacing w:after="300" w:before="100"/>
      </w:pPr>
    </w:p>
    <w:p>
      <w:pPr>
        <w:pStyle w:val="Heading1"/>
        <w:spacing w:after="160" w:before="400"/>
      </w:pPr>
      <w:r>
        <w:rPr>
          <w:rFonts w:ascii="Calibri" w:cs="Calibri" w:eastAsia="Calibri" w:hAnsi="Calibri"/>
          <w:b/>
          <w:bCs/>
          <w:color w:val="002368"/>
          <w:sz w:val="30"/>
          <w:szCs w:val="30"/>
        </w:rPr>
        <w:t xml:space="preserve">10. Marketing Asset &amp; Brand Management</w:t>
      </w:r>
    </w:p>
    <w:p>
      <w:pPr>
        <w:spacing w:after="60" w:before="200"/>
      </w:pPr>
      <w:r>
        <w:rPr>
          <w:rFonts w:ascii="Calibri" w:cs="Calibri" w:eastAsia="Calibri" w:hAnsi="Calibri"/>
          <w:b/>
          <w:bCs/>
          <w:color w:val="002368"/>
          <w:sz w:val="18"/>
          <w:szCs w:val="18"/>
        </w:rPr>
        <w:t xml:space="preserve">OBJECTIVE</w:t>
      </w:r>
    </w:p>
    <w:p>
      <w:pPr>
        <w:spacing w:after="120"/>
      </w:pPr>
      <w:r>
        <w:rPr>
          <w:rFonts w:ascii="Calibri" w:cs="Calibri" w:eastAsia="Calibri" w:hAnsi="Calibri"/>
          <w:sz w:val="22"/>
          <w:szCs w:val="22"/>
        </w:rPr>
        <w:t xml:space="preserve">Stop the team from repeatedly asking where a file is, which version is final, and who approved it.</w:t>
      </w:r>
    </w:p>
    <w:p>
      <w:pPr>
        <w:spacing w:after="60" w:before="200"/>
      </w:pPr>
      <w:r>
        <w:rPr>
          <w:rFonts w:ascii="Calibri" w:cs="Calibri" w:eastAsia="Calibri" w:hAnsi="Calibri"/>
          <w:b/>
          <w:bCs/>
          <w:color w:val="002368"/>
          <w:sz w:val="18"/>
          <w:szCs w:val="18"/>
        </w:rPr>
        <w:t xml:space="preserve">WORKFLOW</w:t>
      </w:r>
    </w:p>
    <w:p>
      <w:pPr>
        <w:pBdr>
          <w:left w:val="single" w:color="80BFEC" w:sz="18" w:space="8"/>
        </w:pBdr>
        <w:shd w:fill="F2F5FA" w:val="clear"/>
        <w:spacing w:after="120"/>
        <w:ind w:left="100"/>
      </w:pPr>
      <w:r>
        <w:rPr>
          <w:rFonts w:ascii="Calibri" w:cs="Calibri" w:eastAsia="Calibri" w:hAnsi="Calibri"/>
          <w:i/>
          <w:iCs/>
          <w:color w:val="002368"/>
          <w:sz w:val="21"/>
          <w:szCs w:val="21"/>
        </w:rPr>
        <w:t xml:space="preserve">Asset request  →  Brief  →  Creation  →  Review  →  Approval  →  Final asset  →  Organized storage  →  Reuse</w:t>
      </w:r>
    </w:p>
    <w:p>
      <w:pPr>
        <w:spacing w:after="60" w:before="200"/>
      </w:pPr>
      <w:r>
        <w:rPr>
          <w:rFonts w:ascii="Calibri" w:cs="Calibri" w:eastAsia="Calibri" w:hAnsi="Calibri"/>
          <w:b/>
          <w:bCs/>
          <w:color w:val="002368"/>
          <w:sz w:val="18"/>
          <w:szCs w:val="18"/>
        </w:rPr>
        <w:t xml:space="preserve">WHY IT MATTERS</w:t>
      </w:r>
    </w:p>
    <w:p>
      <w:pPr>
        <w:spacing w:after="120"/>
      </w:pPr>
      <w:r>
        <w:rPr>
          <w:rFonts w:ascii="Calibri" w:cs="Calibri" w:eastAsia="Calibri" w:hAnsi="Calibri"/>
          <w:sz w:val="22"/>
          <w:szCs w:val="22"/>
        </w:rPr>
        <w:t xml:space="preserve">Covers brand templates, photography, videos, campus materials, flyers, social media assets, testimonials, AI-refined images, and campaign materials.</w:t>
      </w:r>
    </w:p>
    <w:p>
      <w:pPr>
        <w:pBdr>
          <w:bottom w:val="single" w:color="D9D9D9" w:sz="6" w:space="1"/>
        </w:pBdr>
        <w:spacing w:after="300" w:before="100"/>
      </w:pPr>
    </w:p>
    <w:p>
      <w:pPr>
        <w:pStyle w:val="Heading1"/>
        <w:spacing w:after="200" w:before="200"/>
      </w:pPr>
      <w:r>
        <w:rPr>
          <w:rFonts w:ascii="Calibri" w:cs="Calibri" w:eastAsia="Calibri" w:hAnsi="Calibri"/>
          <w:b/>
          <w:bCs/>
          <w:color w:val="002368"/>
          <w:sz w:val="30"/>
          <w:szCs w:val="30"/>
        </w:rPr>
        <w:t xml:space="preserve">Discussion Points</w:t>
      </w:r>
    </w:p>
    <w:p>
      <w:pPr>
        <w:spacing w:after="120"/>
      </w:pPr>
      <w:r>
        <w:rPr>
          <w:rFonts w:ascii="Calibri" w:cs="Calibri" w:eastAsia="Calibri" w:hAnsi="Calibri"/>
          <w:sz w:val="22"/>
          <w:szCs w:val="22"/>
        </w:rPr>
        <w:t xml:space="preserve">A few questions worth working through together:</w:t>
      </w:r>
    </w:p>
    <w:p>
      <w:pPr>
        <w:pStyle w:val="ListParagraph"/>
        <w:numPr>
          <w:ilvl w:val="0"/>
          <w:numId w:val="2"/>
        </w:numPr>
        <w:spacing w:after="60"/>
      </w:pPr>
      <w:r>
        <w:rPr>
          <w:rFonts w:ascii="Calibri" w:cs="Calibri" w:eastAsia="Calibri" w:hAnsi="Calibri"/>
          <w:sz w:val="22"/>
          <w:szCs w:val="22"/>
        </w:rPr>
        <w:t xml:space="preserve">Which of these ten processes belong in one shared system, and which can stay separate?</w:t>
      </w:r>
    </w:p>
    <w:p>
      <w:pPr>
        <w:pStyle w:val="ListParagraph"/>
        <w:numPr>
          <w:ilvl w:val="0"/>
          <w:numId w:val="2"/>
        </w:numPr>
        <w:spacing w:after="60"/>
      </w:pPr>
      <w:r>
        <w:rPr>
          <w:rFonts w:ascii="Calibri" w:cs="Calibri" w:eastAsia="Calibri" w:hAnsi="Calibri"/>
          <w:sz w:val="22"/>
          <w:szCs w:val="22"/>
        </w:rPr>
        <w:t xml:space="preserve">Given the team's current tools (WhatsApp, email, spreadsheets), what's realistic to automate first?</w:t>
      </w:r>
    </w:p>
    <w:p>
      <w:pPr>
        <w:pStyle w:val="ListParagraph"/>
        <w:numPr>
          <w:ilvl w:val="0"/>
          <w:numId w:val="2"/>
        </w:numPr>
        <w:spacing w:after="60"/>
      </w:pPr>
      <w:r>
        <w:rPr>
          <w:rFonts w:ascii="Calibri" w:cs="Calibri" w:eastAsia="Calibri" w:hAnsi="Calibri"/>
          <w:sz w:val="22"/>
          <w:szCs w:val="22"/>
        </w:rPr>
        <w:t xml:space="preserve">Where can AI genuinely remove manual work — lead follow-up, reporting, content approvals — versus where it would just add complexity?</w:t>
      </w:r>
    </w:p>
    <w:p>
      <w:pPr>
        <w:pStyle w:val="ListParagraph"/>
        <w:numPr>
          <w:ilvl w:val="0"/>
          <w:numId w:val="2"/>
        </w:numPr>
        <w:spacing w:after="60"/>
      </w:pPr>
      <w:r>
        <w:rPr>
          <w:rFonts w:ascii="Calibri" w:cs="Calibri" w:eastAsia="Calibri" w:hAnsi="Calibri"/>
          <w:sz w:val="22"/>
          <w:szCs w:val="22"/>
        </w:rPr>
        <w:t xml:space="preserve">What would a realistic build order look like, starting with Enrollment Lead Management and Marketing Planning &amp; Campaign Management as the two highest-priority processes?</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2026-08-15T10:56:16.990Z</dcterms:created>
  <dcterms:modified xsi:type="dcterms:W3CDTF">2026-08-15T10:56:17.003Z</dcterms:modified>
</cp:coreProperties>
</file>

<file path=docProps/custom.xml><?xml version="1.0" encoding="utf-8"?>
<Properties xmlns="http://schemas.openxmlformats.org/officeDocument/2006/custom-properties" xmlns:vt="http://schemas.openxmlformats.org/officeDocument/2006/docPropsVTypes"/>
</file>