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sz w:val="36"/>
        </w:rPr>
        <w:t>Urban Hub Coverage and Road Accessibility in Western Democratic Republic of the Congo: A Geospatial Analysis of Data and Model Sensitivity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Abstract—Regional accessibility estimates can be strongly influenced by population models and assumed network connectivity. This study examines these effects across ten interconnected provinces in western and north-western Democratic Republic of the Congo. It combines WorldPop 2025, GHS-POP 2025, GHS-SMOD settlement classifications, administrative boundaries, and an OpenStreetMap road extract dated 5 October 2026. Population counts are aggregated to mass-conserving one- and five-kilometre equal-area grids. A directed graph preserves mapped road geometry and disconnection, while a maximal covering model selects among 26 existing hubs. The analysis also includes 288 factorial optimizations and 108 repeated-stress and threshold runs, together with a 10/25-kilometre candidate-grid comparison using current protected-area masks. Under the common regional mask, WorldPop estimates 43.30 million inhabitants and GHS-POP 34.03 million, a difference of 21.40%. With one-kilometre demand cells, the baseline road classes, and assumed connectors of at most five kilometres, ten selected hubs cover 50.97% of WorldPop population within a 100-kilometre distance threshold, compared with 62.70% using GHS-POP. Across the joint scenarios, ten-hub coverage ranges from 40.40% to 63.35%; this envelope is not a confidence interval. The synthetic-graph audit reveals centrality rank changes and does not support a predefined p-median elbow criterion. These results demonstrate sensitivity of modelled coverage, rather than observed travel behaviour, historical causality, or the feasibility of new towns. An external satellite-road comparison finds only 20.93% length agreement within 100 m when OSM tracks are included. This restricted input check does not validate regional mobility or population coverage; operational planning recommendations remain conditional.</w:t>
      </w:r>
    </w:p>
    <w:p>
      <w:pPr>
        <w:ind w:firstLine="0"/>
        <w:jc w:val="both"/>
      </w:pPr>
      <w:r>
        <w:t>Keywords—road accessibility; maximal covering location; gridded population; network topology; sensitivity analysis;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objective is to measure how population representation and mapped road connectivity alter the coverage attainable by a limited set of existing hubs. The analysis does not assume that every mapped road is usable or that every waterway is navigable. It also does not infer that improving a mathematical coverage objective creates employment, economic autonomy, or an equitable allocation of public investment.</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is a reproducible comparison of two gridded population products, two demand resolutions, and several road and attachment assumptions, together with an audit of the earlier model. Regional masks, graph construction rules, and computational optimality are distinguished from external validity. The main research question is: how sensitive is the modelled population coverage of existing hubs to population inputs, spatial aggregation, mapped roads, off-network attachment, and controlled perturbations?</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remains a motivation for asking regional questions, but no colonial-era network is digitized or compared with the current data here. The revised title therefore omits historical causal and sovereignty claims. Planning interpretation is restricted to identifying assumptions and areas requiring investigation. This narrower framing also allows the principal analytical findings to be evaluated independently of a political description of the desired territorial future.</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existing candidate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No new-city location is optimized in the main revised model.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while the proposed sites cease to be planning recommendations.</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some observed mobility evidence exists locally [32]. Its spatial and temporal scope must be respected. The defensible next validation would define a measurable target, identify corresponding road geometry and survey dates, and compare modelled urban distances or travel times with digitized route observations. Regional hub coverage would require representative service access or OD evidence across the study system. Until such a matched test is executed, the present article remains an exploratory geospatial sensitivity study. The absence of that empirical test is a substantive limitation, not a minor editorial detail.</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1"/>
        <w:ind w:firstLine="0"/>
        <w:jc w:val="both"/>
      </w:pPr>
      <w:r>
        <w:t>IV. CONCLUSION</w:t>
      </w:r>
    </w:p>
    <w:p>
      <w:pPr>
        <w:jc w:val="both"/>
      </w:pPr>
      <w:r>
        <w:t>Replacing selected-node demand with complete gridded population and preserving mapped road disconnection materially changes the scope of the accessibility question. Across the same ten-province mask, WorldPop and GHS-POP differ by 21.40% in total population. Baseline ten-hub coverage within 100 km is 50.97% versus 62.70%; the joint scenario envelope spans 40.40–63.35%. These calculated differences show that population and network assumptions must accompany any reported hub result.</w:t>
      </w:r>
    </w:p>
    <w:p>
      <w:pPr>
        <w:jc w:val="both"/>
      </w:pPr>
      <w:r>
        <w:t>The audits also change the interpretation of the previous application: Kenge and Bandundu centrality ranks are topology-sensitive, the specified p-median elbow is not supported, and Yanganga’s perfect selection frequency follows from a single candidate in its province. Exact solver results establish optimality only within the encoded models. An additional 108 optimization runs, alternative grid screens, and an October 2026 protected-area mask strengthen sensitivity analysis. Finite-design variance attribution and morphological settlement footprints are now added. An external satellite-road input check has been completed, but compatible empirical regional flow or field validation has not, and no historical cause, sovereign economic function, or feasible new-town site is demonstrated. The contribution is therefore a reproducible analysis of model sensitivity, with operational planning claims reserved for subsequent matched validation.</w:t>
      </w:r>
    </w:p>
    <w:p>
      <w:pPr>
        <w:pStyle w:val="Heading1"/>
        <w:ind w:firstLine="0"/>
        <w:jc w:val="both"/>
      </w:pPr>
      <w:r>
        <w:t>DATA AND AUTHOR STATEMENTS</w:t>
      </w:r>
    </w:p>
    <w:p>
      <w:pPr>
        <w:jc w:val="both"/>
      </w:pPr>
      <w:r>
        <w:t>The replication package provides scripts, derived results, parameters, source metadata, checksums, and reproduction instructions. The original v1.0.0 archive (https://doi.org/10.5281/zenodo.22287394) predates these revisions. The repository is https://github.com/Nehemy29/rdc-hubs-urbains-optimisation-spatiale. Revised files accompany resubmission and require a new public release with its own archive citation. Raw third-party datasets are obtained from their producers under documented terms and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sectPr>
          <w:type w:val="continuous"/>
          <w:pgSz w:w="11906" w:h="16838"/>
          <w:pgMar w:top="1077" w:right="812" w:bottom="1587" w:left="812" w:header="720" w:footer="720" w:gutter="0"/>
          <w:cols w:space="482" w:num="2" w:equalWidth="1"/>
          <w:docGrid w:linePitch="360"/>
        </w:sectPr>
      </w:pP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