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rFonts w:ascii="Times New Roman" w:hAnsi="Times New Roman"/>
          <w:b/>
          <w:sz w:val="32"/>
        </w:rPr>
        <w:t>Planning New Urban Hubs in Western Democratic Republic of the Congo through Conditional Location Optimization and an Assessment Framework for Functional Autonomy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Abstract—This study investigates where additional urban hubs could improve territorial integration across Greater Bandundu, Greater Équateur, Kinshasa and Kongo Central. A directed October 2026 OpenStreetMap road graph and complete WorldPop and GHS-POP population grids support conditional location allocation. Twenty-six existing hubs remain fixed; three, five or ten new service centres are selected to maximize additional modelled population within 100 km. Candidate grids of 10 and 25 km use a documented protected-area mask and point-sampled land-cover exclusions. Twenty-four new optimizations compare population products, road-class sets, candidate grids and an optional 15-km water-proximity constraint. All terminate with zero optimality gap. With WorldPop and main roads, five new centres increase five-kilometre-demand coverage from 59.08% to 64.68% on the 25-km candidate grid and to 65.57% on the 10-km grid. At ten new centres on the coarse grid, coverage reaches 69.17%. These conditional gains complement earlier network and population sensitivity experiments. Functional autonomy is operationalized as an assessment framework separating measured accessibility proxies from unmeasured productive, energy, service and trade functions. Water proximity is tested as a resource-access condition, not evidence of reliable supply. Selected centres identify sectors for further investigation, not cleared construction parcels or proven sovereign cities. Historical inheritance remains contextual; no colonial causal effect is estimated. Household-access validation, operational transport verification, land rights, investment costs and functional-autonomy observations remain required before implementation.</w:t>
      </w:r>
    </w:p>
    <w:p>
      <w:pPr>
        <w:ind w:firstLine="0"/>
        <w:jc w:val="both"/>
      </w:pPr>
      <w:r>
        <w:t>Keywords—new urban hubs; conditional location allocation; functional autonomy; territorial integration; population coverage;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planning objective is to locate additional urban hubs that could extend interior service coverage and provide a basis for investigating relative functional autonomy. Accessibility gains are measured conditionally; economic independence, employment and viable urban construction are not inferred from them. Existing-hub analysis supplies the baseline, and new candidate-centre optimization is introduced in Sections II.L–M and III.L–M.</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combines an audited baseline with a new-centre location experiment. It compares two population products and road assumptions, then selects screened candidate centres in addition to all 26 existing hubs. The central question is where additional hubs can maximize modelled service coverage, how grid and resource-access assumptions change those solutions, and which further evidence would be necessary to assess functional autonomy. Exact optimization, input checks and an explicit autonomy framework are kept distinct from empirical outcome validation.</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motivates the integration question, but no colonial-era network is digitized or compared with current data here. A causal colonial claim is therefore omitted from the title and findings. The ambition of new urban hubs and relative functional autonomy is retained through conditional location optimization and a specified evidence framework; realized sovereignty is not asserted. This distinction permits territorial planning questions without treating a desired future as an observed result.</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baseline existing-hub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These 26 hubs remain fixed in the additional-centre experiment; new screened sites form a separate decision set in Section II.L.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2"/>
        <w:ind w:firstLine="0"/>
        <w:jc w:val="both"/>
      </w:pPr>
      <w:r>
        <w:t>J. Published Route Benchmark and Spatial Road Variation</w:t>
      </w:r>
    </w:p>
    <w:p>
      <w:pPr>
        <w:jc w:val="both"/>
      </w:pPr>
      <w:r>
        <w:t>A Logistics Cluster distance catalogue dated 6 September 2018 provides road distances for Kinshasa, Matadi and Bandundu [37]. The GeoNames hub coordinates are attached to the same directed main-road graph and track-inclusive alternative used in the covering experiment. Both directions of each pair are computed, including endpoint offsets. The comparison is an external route benchmark: catalogue terminals, prescribed itineraries, seasonal accessibility and measurement methods are unspecified, and the reference predates the OSM snapshot by eight years. The catalogue is therefore not treated as observed GPS trajectories or a calibrated error sample. The Matadi–Bandundu entry is checked for consistency with the two other entries before any interpretation.</w:t>
      </w:r>
    </w:p>
    <w:p>
      <w:pPr>
        <w:jc w:val="both"/>
      </w:pPr>
      <w:r>
        <w:t>The satellite-road comparison is extended by province and detection period, retaining the same 25-m midpoint sampling and 100-m tolerance. Within each road set, subsegment weights are aggregated in fixed 25- and 50-km projected blocks. For each block size, 1,000 draws resample the nonempty blocks with replacement using seed 20261008; agreement is recomputed as total matched length divided by total reference length. The 2.5th and 97.5th percentiles describe conditional spatial resampling variation. They are not confidence bounds for total road completeness, routing error or hub coverage: reference detection error, private access, temporal mismatch and unsampled roads remain unmodelled. No coverage optimization is added by these 4,000 resampling draws.</w:t>
      </w:r>
    </w:p>
    <w:p>
      <w:pPr>
        <w:jc w:val="both"/>
      </w:pPr>
      <w:r>
        <w:t>The supplementary preference-weight screen remains an audit rather than the basis of new-centre selection. A consultation protocol and blank forms are available for a future preference study, but no expert response is claimed. The new-centre model instead maximizes additional population coverage and uses explicit alternative constraints. It does not depend on the old assumed weights, the CRITIC vector, or an unavailable expert panel. Avoiding preference aggregation does not validate the inputs, establish construction feasibility or remove the requirement for external access observations.</w:t>
      </w:r>
    </w:p>
    <w:p>
      <w:pPr>
        <w:pStyle w:val="Heading2"/>
        <w:ind w:firstLine="0"/>
        <w:jc w:val="both"/>
      </w:pPr>
      <w:r>
        <w:t>K. Conditional Ferry Connectivity and Data-Derived Weights</w:t>
      </w:r>
    </w:p>
    <w:p>
      <w:pPr>
        <w:jc w:val="both"/>
      </w:pPr>
      <w:r>
        <w:t>The Logistics Cluster access report of 18 April 2024 identifies Bandundu access via Mongata with a bac and reports 405 km [38]. It also describes difficult road conditions and another ferry-dependent itinerary. Route numbers differ between its table and mapped RN17 annotations; this inconsistency is retained. Three OSM ways forming Bac Bandundu (49809124, 980566897, 980566898) are retrieved on 8 October 2026 [39]. Their geometry is added to each main/track road graph, using exact shared coordinates only. No artificial gap link is created. Bidirectional usability is assumed for a conditional diagnostic; waiting, fares, capacity limits, security and seasonality are omitted. This scenario tests an identifiable structural omission, without certifying current operation or replacing the road-only baseline.</w:t>
      </w:r>
    </w:p>
    <w:p>
      <w:pPr>
        <w:jc w:val="both"/>
      </w:pPr>
      <w:r>
        <w:t>Twelve new maximal-covering optimizations use this conditional ferry graph: two road-class sets, two population products, and p = 5, 10 and 15. Demand remains the complete one-kilometre grid, connectors remain at most 5 km, and the covering threshold remains 100 km, with no deletion or coordinate displacement. Baselines are matched to the corresponding existing runs. Paths beyond 100 km need not be evaluated for this objective. Each selected-set objective is independently recomputed. These targeted mode-availability tests are distinct from the 288-run factorial and are not fitted failure probabilities.</w:t>
      </w:r>
    </w:p>
    <w:p>
      <w:pPr>
        <w:jc w:val="both"/>
      </w:pPr>
      <w:r>
        <w:t>A CRITIC-style diagnostic derives weights from the six existing candidate-score columns [40]. Scores retain their common 0–1 transformations rather than being rescaled separately to each grid’s observed extrema. For each strict full-cell environmental screen, sigma_j is score standard deviation across retained centres (ddof = 0), r_jk is Pearson correlation, C_j = sigma_j Σ_k(1 − r_jk), and w_j = C_j / Σ_l C_l. Each retained centre has equal sampling weight. Separate 10- and 25-km computations are compared with the assumed and uniform vectors on exactly the same candidate sets. Tied provincial maxima are retained. Contrast/correlation weights describe the chosen evaluation matrix; they do not estimate expert preferences, validate the six transformations, or justify the original 30/25/20/10/5/10 allocation retrospectively.</w:t>
      </w:r>
    </w:p>
    <w:p>
      <w:pPr>
        <w:pStyle w:val="Heading2"/>
        <w:ind w:firstLine="0"/>
        <w:jc w:val="both"/>
      </w:pPr>
      <w:r>
        <w:t>L. Conditional Allocation of Additional Urban Hubs</w:t>
      </w:r>
    </w:p>
    <w:p>
      <w:pPr>
        <w:jc w:val="both"/>
      </w:pPr>
      <w:r>
        <w:t>All 26 existing hubs are retained as a fixed service baseline. This assumes comparable service availability and no capacity limits; actual service inventories are unavailable. Let b_i be one if demand cell i lies within 100 km of at least one fixed hub in the specified graph. New candidate set J comprises screened 10- or 25-km grid centres from Section II.H: at least 40 km from the retained hubs, permitted WorldCover point classes 20, 30, 40 or 60, and no full-cell intersection with the protected-area polygons or the reported-area point buffer. This retains 1,583 and 241 centres, respectively. Proximity to the 26 hubs does not establish distance from every town or village. A candidate can represent expansion of an existing rural settlement; neither vacant land nor a legally new city is established.</w:t>
      </w:r>
    </w:p>
    <w:p>
      <w:pPr>
        <w:jc w:val="both"/>
      </w:pPr>
      <w:r>
        <w:t>Candidate centres attach to the nearest retained road vertex with a geodesic connector at most 5 km; connectors are assumed, not newly designed roads. Demand is the full 5-km grid from each population product, with the same attachment rule. Unattached and unreachable cells remain in the denominator. The candidate set after attachment has 1,291/1,358 centres on the 10-km grid and 201/208 on the 25-km grid for main roads/roads plus tracks. The directed geometry graph and distance threshold are unchanged. Ferries are not added in this experiment, to retain a matched road-only baseline; Section III.K is a separate conditional mode test.</w:t>
      </w:r>
    </w:p>
    <w:p>
      <w:pPr>
        <w:jc w:val="both"/>
      </w:pPr>
      <w:r>
        <w:t>For a_ij = 1 when cell i can reach new candidate j within 100 km including connectors, maximize Σ_i P_i(1−b_i)y_i subject to y_i ≤ Σ_j a_ij x_j, Σ_j x_j = q, and binary x_j. Covered-demand variables y_i lie in [0,1]; positive weights and binary site choices yield exact covered masses. No preference weights or economic-autonomy score enter this objective. The baseline union is counted once and removed from marginal demand. Demand with identical full candidate-incidence vectors is aggregated by population sum using packed bits; no 26-site encoding limit applies. The reported selected sets are one optimum, with possible ties. Chosen q values are scenarios, not an estimated optimum number of cities; no budget or site-capacity model is available.</w:t>
      </w:r>
    </w:p>
    <w:p>
      <w:pPr>
        <w:jc w:val="both"/>
      </w:pPr>
      <w:r>
        <w:t>On the 25-km candidate grid, q = 3, 5 and 10 are crossed with two road sets and two population products, giving 12 runs. An additional q = 5 screen requires distance to mapped water at most 15 km, giving four runs. The 10-km grid repeats q = 5 with and without this water constraint across both road sets and products, giving eight runs. The total is 24 new optimizations, distinct from the 408 existing-hub and audit runs. Every objective is recomputed from the original demand weights and selected-site union. This experiment varies candidate grids but holds demand resolution at 5 km; earlier 1/5-km existing-hub sensitivities do not establish fine-grid stability of the new-site solutions. The water threshold is an explicit scenario choice, not an elicited or calibrated standard.</w:t>
      </w:r>
    </w:p>
    <w:p>
      <w:pPr>
        <w:pStyle w:val="Heading2"/>
        <w:ind w:firstLine="0"/>
        <w:jc w:val="both"/>
      </w:pPr>
      <w:r>
        <w:t>M. Functional Autonomy as an Assessment Framework</w:t>
      </w:r>
    </w:p>
    <w:p>
      <w:pPr>
        <w:jc w:val="both"/>
      </w:pPr>
      <w:r>
        <w:t>Relative functional autonomy denotes the capacity of a hub and its hinterland to satisfy essential functions while exchanging with other territories. It does not imply isolation or national political sovereignty. Urban–rural linkage frameworks examine flows of people, products, services and information [41]; polycentricity has scale-dependent functional meanings and cannot be inferred solely from several selected points [42]. This study treats autonomy as a planning hypothesis requiring separately documented functions, not as an existing composite score.</w:t>
      </w:r>
    </w:p>
    <w:p>
      <w:pPr>
        <w:jc w:val="both"/>
      </w:pPr>
      <w:r>
        <w:t>The operational evidence framework specifies productive capacity as the share of hinterland output processed locally; energy as hours of dependable service and the capacity to sustain critical uses; services as the proportion of identified health, education and administrative needs met locally; employment as local jobs and work-related travel; exchanges as observed origin–destination links; and dependence as the share of essential supply or services requiring Kinshasa. Their denominators, territories, dates and service categories must be defined before collection. None of these outcomes is estimated from population, illumination or proximity alone. Available population potential, land-cover class and mapped road/water/rail/air distances are reported as contextual proxies only. Missing energy, employment, production and trade observations remain missing; no zero, imputed achievement or sovereignty threshold is substituted.</w:t>
      </w:r>
    </w:p>
    <w:p>
      <w:pPr>
        <w:jc w:val="both"/>
      </w:pPr>
      <w:r>
        <w:t>The optional water constraint connects one resource-access consideration to the location model without an arbitrary weighted index. Distance to a waterway cannot establish potable water, dry-season yield, flood safety or navigability. Evaluating a new-city scenario would require engineering and financial designs for production, utilities, services and connections, followed by feasibility and rights assessments. Realized autonomy would require subsequent observations; any simulation of future autonomy must remain conditional on separately specified investment assumptions.</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without endorsing those legacy identities. The new conditional allocation in Section III.L uses a different objective and a complete screened candidate grid.</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observed urban mobility evidence exists locally [32]. Its units, spatial scope and period differ from the regional covering target. The external road and route checks in Sections III.I–J expose mismatches, including a Bandundu discrepancy partly explained by the omitted ferry in Section III.K, rather than establish population-access accuracy. A defensible outcome validation would pair geocoded service-access or journey observations with the same endpoints, modes and dates, first resolve major routing anomalies, and then evaluate errors on withheld observations. Until that test is executed, this article remains an exploratory geospatial sensitivity study.</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2"/>
        <w:ind w:firstLine="0"/>
        <w:jc w:val="both"/>
      </w:pPr>
      <w:r>
        <w:t>J. Route Discrepancies and Conditional Spatial Variation</w:t>
      </w:r>
    </w:p>
    <w:p>
      <w:pPr>
        <w:jc w:val="both"/>
      </w:pPr>
      <w:r>
        <w:t>Table XV reports forward road paths; reverse paths differ by less than 0.08 km for these pairs. Endpoint offsets are below 0.014 km and cannot explain the discrepancies. Kinshasa–Matadi is 336.03 km in the main graph, 5.34% below the published 355 km. Kinshasa–Bandundu is 922.62 km, 88.29% above 490 km; inclusion of tracks reduces it to 879.89 km but leaves a 79.57% difference. Section III.K tests the omitted Bandundu ferry as a structural explanation; route definitions and epoch differences remain additional limitations. No connector is inserted merely to force agreement. The Bandundu result prevents a general claim that the graph produces externally validated road distances.</w:t>
      </w:r>
    </w:p>
    <w:p>
      <w:pPr>
        <w:keepNext/>
        <w:ind w:firstLine="0"/>
        <w:jc w:val="center"/>
      </w:pPr>
      <w:r>
        <w:rPr>
          <w:sz w:val="16"/>
        </w:rPr>
        <w:t>TABLE XV</w:t>
        <w:br/>
        <w:t>PUBLISHED AND MODELLED FORWARD ROAD DISTANCES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644"/>
        <w:gridCol w:w="1020"/>
        <w:gridCol w:w="1020"/>
        <w:gridCol w:w="1208"/>
      </w:tblGrid>
      <w:tr>
        <w:trPr>
          <w:cantSplit/>
          <w:tblHeader/>
        </w:trPr>
        <w:tc>
          <w:tcPr>
            <w:tcW w:type="dxa" w:w="1644"/>
            <w:vAlign w:val="center"/>
          </w:tcPr>
          <w:p>
            <w:pPr>
              <w:keepNext/>
              <w:spacing w:after="40" w:before="20" w:line="240" w:lineRule="auto"/>
              <w:ind w:firstLine="0"/>
            </w:pPr>
            <w:r>
              <w:rPr>
                <w:rFonts w:ascii="Times New Roman" w:hAnsi="Times New Roman"/>
                <w:b/>
                <w:sz w:val="16"/>
              </w:rPr>
              <w:t>Route from Kinshasa</w:t>
            </w:r>
          </w:p>
        </w:tc>
        <w:tc>
          <w:tcPr>
            <w:tcW w:type="dxa" w:w="1020"/>
            <w:vAlign w:val="center"/>
          </w:tcPr>
          <w:p>
            <w:pPr>
              <w:keepNext/>
              <w:spacing w:after="40" w:before="20" w:line="240" w:lineRule="auto"/>
              <w:ind w:firstLine="0"/>
            </w:pPr>
            <w:r>
              <w:rPr>
                <w:rFonts w:ascii="Times New Roman" w:hAnsi="Times New Roman"/>
                <w:b/>
                <w:sz w:val="16"/>
              </w:rPr>
              <w:t>Published km</w:t>
            </w:r>
          </w:p>
        </w:tc>
        <w:tc>
          <w:tcPr>
            <w:tcW w:type="dxa" w:w="1020"/>
            <w:vAlign w:val="center"/>
          </w:tcPr>
          <w:p>
            <w:pPr>
              <w:keepNext/>
              <w:spacing w:after="40" w:before="20" w:line="240" w:lineRule="auto"/>
              <w:ind w:firstLine="0"/>
            </w:pPr>
            <w:r>
              <w:rPr>
                <w:rFonts w:ascii="Times New Roman" w:hAnsi="Times New Roman"/>
                <w:b/>
                <w:sz w:val="16"/>
              </w:rPr>
              <w:t>Main km</w:t>
            </w:r>
          </w:p>
        </w:tc>
        <w:tc>
          <w:tcPr>
            <w:tcW w:type="dxa" w:w="1208"/>
            <w:vAlign w:val="center"/>
          </w:tcPr>
          <w:p>
            <w:pPr>
              <w:keepNext/>
              <w:spacing w:after="40" w:before="20" w:line="240" w:lineRule="auto"/>
              <w:ind w:firstLine="0"/>
            </w:pPr>
            <w:r>
              <w:rPr>
                <w:rFonts w:ascii="Times New Roman" w:hAnsi="Times New Roman"/>
                <w:b/>
                <w:sz w:val="16"/>
              </w:rPr>
              <w:t>With tracks km</w:t>
            </w:r>
          </w:p>
        </w:tc>
      </w:tr>
      <w:tr>
        <w:trPr>
          <w:cantSplit/>
        </w:trPr>
        <w:tc>
          <w:tcPr>
            <w:tcW w:type="dxa" w:w="1644"/>
            <w:vAlign w:val="center"/>
          </w:tcPr>
          <w:p>
            <w:pPr>
              <w:keepNext/>
              <w:spacing w:after="40" w:before="20" w:line="240" w:lineRule="auto"/>
              <w:ind w:firstLine="0"/>
            </w:pPr>
            <w:r>
              <w:rPr>
                <w:rFonts w:ascii="Times New Roman" w:hAnsi="Times New Roman"/>
                <w:sz w:val="16"/>
              </w:rPr>
              <w:t>Matadi</w:t>
            </w:r>
          </w:p>
        </w:tc>
        <w:tc>
          <w:tcPr>
            <w:tcW w:type="dxa" w:w="1020"/>
            <w:vAlign w:val="center"/>
          </w:tcPr>
          <w:p>
            <w:pPr>
              <w:keepNext/>
              <w:spacing w:after="40" w:before="20" w:line="240" w:lineRule="auto"/>
              <w:ind w:firstLine="0"/>
            </w:pPr>
            <w:r>
              <w:rPr>
                <w:rFonts w:ascii="Times New Roman" w:hAnsi="Times New Roman"/>
                <w:sz w:val="16"/>
              </w:rPr>
              <w:t>355</w:t>
            </w:r>
          </w:p>
        </w:tc>
        <w:tc>
          <w:tcPr>
            <w:tcW w:type="dxa" w:w="1020"/>
            <w:vAlign w:val="center"/>
          </w:tcPr>
          <w:p>
            <w:pPr>
              <w:keepNext/>
              <w:spacing w:after="40" w:before="20" w:line="240" w:lineRule="auto"/>
              <w:ind w:firstLine="0"/>
            </w:pPr>
            <w:r>
              <w:rPr>
                <w:rFonts w:ascii="Times New Roman" w:hAnsi="Times New Roman"/>
                <w:sz w:val="16"/>
              </w:rPr>
              <w:t>336.03</w:t>
            </w:r>
          </w:p>
        </w:tc>
        <w:tc>
          <w:tcPr>
            <w:tcW w:type="dxa" w:w="1208"/>
            <w:vAlign w:val="center"/>
          </w:tcPr>
          <w:p>
            <w:pPr>
              <w:keepNext/>
              <w:spacing w:after="40" w:before="20" w:line="240" w:lineRule="auto"/>
              <w:ind w:firstLine="0"/>
            </w:pPr>
            <w:r>
              <w:rPr>
                <w:rFonts w:ascii="Times New Roman" w:hAnsi="Times New Roman"/>
                <w:sz w:val="16"/>
              </w:rPr>
              <w:t>334.92</w:t>
            </w:r>
          </w:p>
        </w:tc>
      </w:tr>
      <w:tr>
        <w:trPr>
          <w:cantSplit/>
        </w:trPr>
        <w:tc>
          <w:tcPr>
            <w:tcW w:type="dxa" w:w="1644"/>
            <w:vAlign w:val="center"/>
          </w:tcPr>
          <w:p>
            <w:pPr>
              <w:spacing w:after="40" w:before="20" w:line="240" w:lineRule="auto"/>
              <w:ind w:firstLine="0"/>
            </w:pPr>
            <w:r>
              <w:rPr>
                <w:rFonts w:ascii="Times New Roman" w:hAnsi="Times New Roman"/>
                <w:sz w:val="16"/>
              </w:rPr>
              <w:t>Bandundu</w:t>
            </w:r>
          </w:p>
        </w:tc>
        <w:tc>
          <w:tcPr>
            <w:tcW w:type="dxa" w:w="1020"/>
            <w:vAlign w:val="center"/>
          </w:tcPr>
          <w:p>
            <w:pPr>
              <w:spacing w:after="40" w:before="20" w:line="240" w:lineRule="auto"/>
              <w:ind w:firstLine="0"/>
            </w:pPr>
            <w:r>
              <w:rPr>
                <w:rFonts w:ascii="Times New Roman" w:hAnsi="Times New Roman"/>
                <w:sz w:val="16"/>
              </w:rPr>
              <w:t>490</w:t>
            </w:r>
          </w:p>
        </w:tc>
        <w:tc>
          <w:tcPr>
            <w:tcW w:type="dxa" w:w="1020"/>
            <w:vAlign w:val="center"/>
          </w:tcPr>
          <w:p>
            <w:pPr>
              <w:spacing w:after="40" w:before="20" w:line="240" w:lineRule="auto"/>
              <w:ind w:firstLine="0"/>
            </w:pPr>
            <w:r>
              <w:rPr>
                <w:rFonts w:ascii="Times New Roman" w:hAnsi="Times New Roman"/>
                <w:sz w:val="16"/>
              </w:rPr>
              <w:t>922.62</w:t>
            </w:r>
          </w:p>
        </w:tc>
        <w:tc>
          <w:tcPr>
            <w:tcW w:type="dxa" w:w="1208"/>
            <w:vAlign w:val="center"/>
          </w:tcPr>
          <w:p>
            <w:pPr>
              <w:spacing w:after="40" w:before="20" w:line="240" w:lineRule="auto"/>
              <w:ind w:firstLine="0"/>
            </w:pPr>
            <w:r>
              <w:rPr>
                <w:rFonts w:ascii="Times New Roman" w:hAnsi="Times New Roman"/>
                <w:sz w:val="16"/>
              </w:rPr>
              <w:t>879.89</w:t>
            </w:r>
          </w:p>
        </w:tc>
      </w:tr>
    </w:tbl>
    <w:p>
      <w:pPr>
        <w:spacing w:after="0"/>
      </w:pPr>
    </w:p>
    <w:p>
      <w:pPr>
        <w:jc w:val="both"/>
      </w:pPr>
      <w:r>
        <w:t>The catalogue also gives Matadi–Bandundu as 1,051 km, exceeding 355 + 490 km by 206 km. A symmetric shortest-path distance matrix cannot satisfy these three values simultaneously. The entry is retained in the audit but excluded as a calibration target; other catalogue values may represent prescribed routes rather than common shortest paths. With only two coherent pair benchmarks and unspecified itineraries, no regional accuracy statistic or fitted error distribution is justified. Neither pair validates the proportion of households within 100 km of a hub.</w:t>
      </w:r>
    </w:p>
    <w:p>
      <w:pPr>
        <w:jc w:val="both"/>
      </w:pPr>
      <w:r>
        <w:t>Reference-road agreement is spatially uneven. With tracks at 100 m, Tshuapa has 47.14% agreement across 454.17 km of reference roads, whereas Mongala has 10.03% across 505.05 km. Small samples in Kwango and Nord-Ubangi cannot support general provincial omission estimates; Kinshasa has no reference sample. For detection periods 2019–2022 and 2023–2025, track-inclusive agreement is 31.22% and 10.19%, respectively. These differences may reflect mapping lag, location and road types as well as detection behaviour. They are not identified causal effects of road age.</w:t>
      </w:r>
    </w:p>
    <w:p>
      <w:pPr>
        <w:keepNext/>
        <w:ind w:firstLine="0"/>
        <w:jc w:val="center"/>
      </w:pPr>
      <w:r>
        <w:rPr>
          <w:sz w:val="16"/>
        </w:rPr>
        <w:t>TABLE XVI</w:t>
        <w:br/>
        <w:t>CONDITIONAL SPATIAL RESAMPLING AT 100 M TOLERANCE</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737"/>
        <w:gridCol w:w="1077"/>
        <w:gridCol w:w="1604"/>
      </w:tblGrid>
      <w:tr>
        <w:trPr>
          <w:cantSplit/>
          <w:tblHeader/>
        </w:trPr>
        <w:tc>
          <w:tcPr>
            <w:tcW w:type="dxa" w:w="1474"/>
            <w:vAlign w:val="center"/>
          </w:tcPr>
          <w:p>
            <w:pPr>
              <w:keepNext/>
              <w:spacing w:after="40" w:before="20" w:line="240" w:lineRule="auto"/>
              <w:ind w:firstLine="0"/>
            </w:pPr>
            <w:r>
              <w:rPr>
                <w:rFonts w:ascii="Times New Roman" w:hAnsi="Times New Roman"/>
                <w:b/>
                <w:sz w:val="16"/>
              </w:rPr>
              <w:t>Road set</w:t>
            </w:r>
          </w:p>
        </w:tc>
        <w:tc>
          <w:tcPr>
            <w:tcW w:type="dxa" w:w="737"/>
            <w:vAlign w:val="center"/>
          </w:tcPr>
          <w:p>
            <w:pPr>
              <w:keepNext/>
              <w:spacing w:after="40" w:before="20" w:line="240" w:lineRule="auto"/>
              <w:ind w:firstLine="0"/>
            </w:pPr>
            <w:r>
              <w:rPr>
                <w:rFonts w:ascii="Times New Roman" w:hAnsi="Times New Roman"/>
                <w:b/>
                <w:sz w:val="16"/>
              </w:rPr>
              <w:t>Block km</w:t>
            </w:r>
          </w:p>
        </w:tc>
        <w:tc>
          <w:tcPr>
            <w:tcW w:type="dxa" w:w="1077"/>
            <w:vAlign w:val="center"/>
          </w:tcPr>
          <w:p>
            <w:pPr>
              <w:keepNext/>
              <w:spacing w:after="40" w:before="20" w:line="240" w:lineRule="auto"/>
              <w:ind w:firstLine="0"/>
            </w:pPr>
            <w:r>
              <w:rPr>
                <w:rFonts w:ascii="Times New Roman" w:hAnsi="Times New Roman"/>
                <w:b/>
                <w:sz w:val="16"/>
              </w:rPr>
              <w:t>Agreement %</w:t>
            </w:r>
          </w:p>
        </w:tc>
        <w:tc>
          <w:tcPr>
            <w:tcW w:type="dxa" w:w="1604"/>
            <w:vAlign w:val="center"/>
          </w:tcPr>
          <w:p>
            <w:pPr>
              <w:keepNext/>
              <w:spacing w:after="40" w:before="20" w:line="240" w:lineRule="auto"/>
              <w:ind w:firstLine="0"/>
            </w:pPr>
            <w:r>
              <w:rPr>
                <w:rFonts w:ascii="Times New Roman" w:hAnsi="Times New Roman"/>
                <w:b/>
                <w:sz w:val="16"/>
              </w:rPr>
              <w:t>2.5–97.5 percentiles %</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3.07–7.50</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50</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3.00–8.37</w:t>
            </w:r>
          </w:p>
        </w:tc>
      </w:tr>
      <w:tr>
        <w:trPr>
          <w:cantSplit/>
        </w:trPr>
        <w:tc>
          <w:tcPr>
            <w:tcW w:type="dxa" w:w="1474"/>
            <w:vAlign w:val="center"/>
          </w:tcPr>
          <w:p>
            <w:pPr>
              <w:keepNext/>
              <w:spacing w:after="40" w:before="20" w:line="240" w:lineRule="auto"/>
              <w:ind w:firstLine="0"/>
            </w:pPr>
            <w:r>
              <w:rPr>
                <w:rFonts w:ascii="Times New Roman" w:hAnsi="Times New Roman"/>
                <w:sz w:val="16"/>
              </w:rPr>
              <w:t>Main + tracks</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20.93</w:t>
            </w:r>
          </w:p>
        </w:tc>
        <w:tc>
          <w:tcPr>
            <w:tcW w:type="dxa" w:w="1604"/>
            <w:vAlign w:val="center"/>
          </w:tcPr>
          <w:p>
            <w:pPr>
              <w:keepNext/>
              <w:spacing w:after="40" w:before="20" w:line="240" w:lineRule="auto"/>
              <w:ind w:firstLine="0"/>
            </w:pPr>
            <w:r>
              <w:rPr>
                <w:rFonts w:ascii="Times New Roman" w:hAnsi="Times New Roman"/>
                <w:sz w:val="16"/>
              </w:rPr>
              <w:t>12.81–30.95</w:t>
            </w:r>
          </w:p>
        </w:tc>
      </w:tr>
      <w:tr>
        <w:trPr>
          <w:cantSplit/>
        </w:trPr>
        <w:tc>
          <w:tcPr>
            <w:tcW w:type="dxa" w:w="1474"/>
            <w:vAlign w:val="center"/>
          </w:tcPr>
          <w:p>
            <w:pPr>
              <w:spacing w:after="40" w:before="20" w:line="240" w:lineRule="auto"/>
              <w:ind w:firstLine="0"/>
            </w:pPr>
            <w:r>
              <w:rPr>
                <w:rFonts w:ascii="Times New Roman" w:hAnsi="Times New Roman"/>
                <w:sz w:val="16"/>
              </w:rPr>
              <w:t>Main + tracks</w:t>
            </w:r>
          </w:p>
        </w:tc>
        <w:tc>
          <w:tcPr>
            <w:tcW w:type="dxa" w:w="737"/>
            <w:vAlign w:val="center"/>
          </w:tcPr>
          <w:p>
            <w:pPr>
              <w:spacing w:after="40" w:before="20" w:line="240" w:lineRule="auto"/>
              <w:ind w:firstLine="0"/>
            </w:pPr>
            <w:r>
              <w:rPr>
                <w:rFonts w:ascii="Times New Roman" w:hAnsi="Times New Roman"/>
                <w:sz w:val="16"/>
              </w:rPr>
              <w:t>50</w:t>
            </w:r>
          </w:p>
        </w:tc>
        <w:tc>
          <w:tcPr>
            <w:tcW w:type="dxa" w:w="1077"/>
            <w:vAlign w:val="center"/>
          </w:tcPr>
          <w:p>
            <w:pPr>
              <w:spacing w:after="40" w:before="20" w:line="240" w:lineRule="auto"/>
              <w:ind w:firstLine="0"/>
            </w:pPr>
            <w:r>
              <w:rPr>
                <w:rFonts w:ascii="Times New Roman" w:hAnsi="Times New Roman"/>
                <w:sz w:val="16"/>
              </w:rPr>
              <w:t>20.93</w:t>
            </w:r>
          </w:p>
        </w:tc>
        <w:tc>
          <w:tcPr>
            <w:tcW w:type="dxa" w:w="1604"/>
            <w:vAlign w:val="center"/>
          </w:tcPr>
          <w:p>
            <w:pPr>
              <w:spacing w:after="40" w:before="20" w:line="240" w:lineRule="auto"/>
              <w:ind w:firstLine="0"/>
            </w:pPr>
            <w:r>
              <w:rPr>
                <w:rFonts w:ascii="Times New Roman" w:hAnsi="Times New Roman"/>
                <w:sz w:val="16"/>
              </w:rPr>
              <w:t>12.06–32.26</w:t>
            </w:r>
          </w:p>
        </w:tc>
      </w:tr>
    </w:tbl>
    <w:p>
      <w:pPr>
        <w:spacing w:after="0"/>
      </w:pPr>
    </w:p>
    <w:p>
      <w:pPr>
        <w:jc w:val="both"/>
      </w:pPr>
      <w:r>
        <w:t>The 25-km partition has 131 nonempty blocks and the 50-km partition 76; each is resampled 1,000 times. Wider ranges at 50 km reinforce the need to respect spatial dependence. This strengthens the uncertainty characterization of the external input check without calibrating the covering model. Road operability, household access, reference error and seasonal variation still require matched evidence. Uniform 1% deletion remains a stress assumption rather than an estimated error rate.</w:t>
      </w:r>
    </w:p>
    <w:p>
      <w:pPr>
        <w:pStyle w:val="Heading2"/>
        <w:ind w:firstLine="0"/>
        <w:jc w:val="both"/>
      </w:pPr>
      <w:r>
        <w:t>K. Ferry Omission and Criterion-Weight Diagnostics</w:t>
      </w:r>
    </w:p>
    <w:p>
      <w:pPr>
        <w:jc w:val="both"/>
      </w:pPr>
      <w:r>
        <w:t>The original Kinshasa–Bandundu path detours toward Kikwit (Fig. 5). Adding the three mapped ferry ways changes the main-road path from 922.62 to 398.99 km and the track-inclusive path from 879.89 to 384.04 km. The main-road conditional route is 1.48% shorter than the report’s 405-km Mongata itinerary; the track alternative is 5.17% shorter. This explains an important part of the graph discrepancy through a documented omitted mode, conditional on availability. The comparison is a geographically plausible published-route benchmark, not GPS accuracy validation or proof of safe current operation. The 2018 distance of 490 km remains a different, unspecified-itinerary benchmark.</w:t>
      </w:r>
    </w:p>
    <w:p>
      <w:pPr>
        <w:keepNext/>
        <w:ind w:firstLine="0"/>
        <w:jc w:val="center"/>
      </w:pPr>
      <w:r>
        <w:drawing>
          <wp:inline xmlns:a="http://schemas.openxmlformats.org/drawingml/2006/main" xmlns:pic="http://schemas.openxmlformats.org/drawingml/2006/picture">
            <wp:extent cx="3074400" cy="2836500"/>
            <wp:docPr id="5" name="Picture 5"/>
            <wp:cNvGraphicFramePr>
              <a:graphicFrameLocks noChangeAspect="1"/>
            </wp:cNvGraphicFramePr>
            <a:graphic>
              <a:graphicData uri="http://schemas.openxmlformats.org/drawingml/2006/picture">
                <pic:pic>
                  <pic:nvPicPr>
                    <pic:cNvPr id="0" name="calculated_paths_bandundu.png"/>
                    <pic:cNvPicPr/>
                  </pic:nvPicPr>
                  <pic:blipFill>
                    <a:blip r:embed="rId15"/>
                    <a:stretch>
                      <a:fillRect/>
                    </a:stretch>
                  </pic:blipFill>
                  <pic:spPr>
                    <a:xfrm>
                      <a:off x="0" y="0"/>
                      <a:ext cx="3074400" cy="2836500"/>
                    </a:xfrm>
                    <a:prstGeom prst="rect"/>
                  </pic:spPr>
                </pic:pic>
              </a:graphicData>
            </a:graphic>
          </wp:inline>
        </w:drawing>
      </w:r>
    </w:p>
    <w:p>
      <w:pPr>
        <w:ind w:firstLine="0"/>
        <w:jc w:val="both"/>
      </w:pPr>
      <w:r>
        <w:rPr>
          <w:sz w:val="16"/>
        </w:rPr>
        <w:t>Fig. 5. Calculated Kinshasa–Bandundu paths in the road-only graph and after adding mapped Bandundu ferry geometry. Ferry use is assumed, not observed. OSM-derived geometry [19], [39]; plotted in longitude/latitude for diagnosis.</w:t>
      </w:r>
    </w:p>
    <w:p>
      <w:pPr>
        <w:jc w:val="both"/>
      </w:pPr>
      <w:r>
        <w:t>All twelve optimizations return solver status zero and zero gap. Coverage for p = 5 and 10 is unchanged within numerical precision; this does not imply identical optimizer-selected sets. For p = 15, the gains are 0.079 and 0.078 percentage points for WorldPop without and with tracks, and 0.050 and 0.049 for GHS-POP (Table XVII). A severe long-distance route discrepancy can therefore coexist with a small change in this specific 100-km covering objective. That result does not establish that omitted ferries elsewhere are unimportant or that population access is validated.</w:t>
      </w:r>
    </w:p>
    <w:p>
      <w:pPr>
        <w:keepNext/>
        <w:ind w:firstLine="0"/>
        <w:jc w:val="center"/>
      </w:pPr>
      <w:r>
        <w:rPr>
          <w:sz w:val="16"/>
        </w:rPr>
        <w:t>TABLE XVII</w:t>
        <w:br/>
        <w:t>CONDITIONAL FERRY COVERAGE WITH FIFTEEN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304"/>
        <w:gridCol w:w="850"/>
        <w:gridCol w:w="907"/>
        <w:gridCol w:w="907"/>
        <w:gridCol w:w="924"/>
      </w:tblGrid>
      <w:tr>
        <w:trPr>
          <w:cantSplit/>
          <w:tblHeader/>
        </w:trPr>
        <w:tc>
          <w:tcPr>
            <w:tcW w:type="dxa" w:w="1304"/>
            <w:vAlign w:val="center"/>
          </w:tcPr>
          <w:p>
            <w:pPr>
              <w:keepNext/>
              <w:spacing w:after="40" w:before="20" w:line="240" w:lineRule="auto"/>
              <w:ind w:firstLine="0"/>
            </w:pPr>
            <w:r>
              <w:rPr>
                <w:rFonts w:ascii="Times New Roman" w:hAnsi="Times New Roman"/>
                <w:b/>
                <w:sz w:val="16"/>
              </w:rPr>
              <w:t>Product</w:t>
            </w:r>
          </w:p>
        </w:tc>
        <w:tc>
          <w:tcPr>
            <w:tcW w:type="dxa" w:w="850"/>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Before %</w:t>
            </w:r>
          </w:p>
        </w:tc>
        <w:tc>
          <w:tcPr>
            <w:tcW w:type="dxa" w:w="907"/>
            <w:vAlign w:val="center"/>
          </w:tcPr>
          <w:p>
            <w:pPr>
              <w:keepNext/>
              <w:spacing w:after="40" w:before="20" w:line="240" w:lineRule="auto"/>
              <w:ind w:firstLine="0"/>
            </w:pPr>
            <w:r>
              <w:rPr>
                <w:rFonts w:ascii="Times New Roman" w:hAnsi="Times New Roman"/>
                <w:b/>
                <w:sz w:val="16"/>
              </w:rPr>
              <w:t>Ferry %</w:t>
            </w:r>
          </w:p>
        </w:tc>
        <w:tc>
          <w:tcPr>
            <w:tcW w:type="dxa" w:w="924"/>
            <w:vAlign w:val="center"/>
          </w:tcPr>
          <w:p>
            <w:pPr>
              <w:keepNext/>
              <w:spacing w:after="40" w:before="20" w:line="240" w:lineRule="auto"/>
              <w:ind w:firstLine="0"/>
            </w:pPr>
            <w:r>
              <w:rPr>
                <w:rFonts w:ascii="Times New Roman" w:hAnsi="Times New Roman"/>
                <w:b/>
                <w:sz w:val="16"/>
              </w:rPr>
              <w:t>Gain pp</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66.19</w:t>
            </w:r>
          </w:p>
        </w:tc>
        <w:tc>
          <w:tcPr>
            <w:tcW w:type="dxa" w:w="907"/>
            <w:vAlign w:val="center"/>
          </w:tcPr>
          <w:p>
            <w:pPr>
              <w:keepNext/>
              <w:spacing w:after="40" w:before="20" w:line="240" w:lineRule="auto"/>
              <w:ind w:firstLine="0"/>
            </w:pPr>
            <w:r>
              <w:rPr>
                <w:rFonts w:ascii="Times New Roman" w:hAnsi="Times New Roman"/>
                <w:sz w:val="16"/>
              </w:rPr>
              <w:t>66.24</w:t>
            </w:r>
          </w:p>
        </w:tc>
        <w:tc>
          <w:tcPr>
            <w:tcW w:type="dxa" w:w="924"/>
            <w:vAlign w:val="center"/>
          </w:tcPr>
          <w:p>
            <w:pPr>
              <w:keepNext/>
              <w:spacing w:after="40" w:before="20" w:line="240" w:lineRule="auto"/>
              <w:ind w:firstLine="0"/>
            </w:pPr>
            <w:r>
              <w:rPr>
                <w:rFonts w:ascii="Times New Roman" w:hAnsi="Times New Roman"/>
                <w:sz w:val="16"/>
              </w:rPr>
              <w:t>0.050</w:t>
            </w:r>
          </w:p>
        </w:tc>
      </w:tr>
      <w:tr>
        <w:trPr>
          <w:cantSplit/>
        </w:trPr>
        <w:tc>
          <w:tcPr>
            <w:tcW w:type="dxa" w:w="1304"/>
            <w:vAlign w:val="center"/>
          </w:tcPr>
          <w:p>
            <w:pPr>
              <w:keepNext/>
              <w:spacing w:after="40" w:before="20" w:line="240" w:lineRule="auto"/>
              <w:ind w:firstLine="0"/>
            </w:pPr>
            <w:r>
              <w:rPr>
                <w:rFonts w:ascii="Times New Roman" w:hAnsi="Times New Roman"/>
                <w:sz w:val="16"/>
              </w:rPr>
              <w:t>WorldPop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56.38</w:t>
            </w:r>
          </w:p>
        </w:tc>
        <w:tc>
          <w:tcPr>
            <w:tcW w:type="dxa" w:w="907"/>
            <w:vAlign w:val="center"/>
          </w:tcPr>
          <w:p>
            <w:pPr>
              <w:keepNext/>
              <w:spacing w:after="40" w:before="20" w:line="240" w:lineRule="auto"/>
              <w:ind w:firstLine="0"/>
            </w:pPr>
            <w:r>
              <w:rPr>
                <w:rFonts w:ascii="Times New Roman" w:hAnsi="Times New Roman"/>
                <w:sz w:val="16"/>
              </w:rPr>
              <w:t>56.46</w:t>
            </w:r>
          </w:p>
        </w:tc>
        <w:tc>
          <w:tcPr>
            <w:tcW w:type="dxa" w:w="924"/>
            <w:vAlign w:val="center"/>
          </w:tcPr>
          <w:p>
            <w:pPr>
              <w:keepNext/>
              <w:spacing w:after="40" w:before="20" w:line="240" w:lineRule="auto"/>
              <w:ind w:firstLine="0"/>
            </w:pPr>
            <w:r>
              <w:rPr>
                <w:rFonts w:ascii="Times New Roman" w:hAnsi="Times New Roman"/>
                <w:sz w:val="16"/>
              </w:rPr>
              <w:t>0.079</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66.59</w:t>
            </w:r>
          </w:p>
        </w:tc>
        <w:tc>
          <w:tcPr>
            <w:tcW w:type="dxa" w:w="907"/>
            <w:vAlign w:val="center"/>
          </w:tcPr>
          <w:p>
            <w:pPr>
              <w:keepNext/>
              <w:spacing w:after="40" w:before="20" w:line="240" w:lineRule="auto"/>
              <w:ind w:firstLine="0"/>
            </w:pPr>
            <w:r>
              <w:rPr>
                <w:rFonts w:ascii="Times New Roman" w:hAnsi="Times New Roman"/>
                <w:sz w:val="16"/>
              </w:rPr>
              <w:t>66.64</w:t>
            </w:r>
          </w:p>
        </w:tc>
        <w:tc>
          <w:tcPr>
            <w:tcW w:type="dxa" w:w="924"/>
            <w:vAlign w:val="center"/>
          </w:tcPr>
          <w:p>
            <w:pPr>
              <w:keepNext/>
              <w:spacing w:after="40" w:before="20" w:line="240" w:lineRule="auto"/>
              <w:ind w:firstLine="0"/>
            </w:pPr>
            <w:r>
              <w:rPr>
                <w:rFonts w:ascii="Times New Roman" w:hAnsi="Times New Roman"/>
                <w:sz w:val="16"/>
              </w:rPr>
              <w:t>0.049</w:t>
            </w:r>
          </w:p>
        </w:tc>
      </w:tr>
      <w:tr>
        <w:trPr>
          <w:cantSplit/>
        </w:trPr>
        <w:tc>
          <w:tcPr>
            <w:tcW w:type="dxa" w:w="1304"/>
            <w:vAlign w:val="center"/>
          </w:tcPr>
          <w:p>
            <w:pPr>
              <w:spacing w:after="40" w:before="20" w:line="240" w:lineRule="auto"/>
              <w:ind w:firstLine="0"/>
            </w:pPr>
            <w:r>
              <w:rPr>
                <w:rFonts w:ascii="Times New Roman" w:hAnsi="Times New Roman"/>
                <w:sz w:val="16"/>
              </w:rPr>
              <w:t>WorldPop</w:t>
            </w:r>
          </w:p>
        </w:tc>
        <w:tc>
          <w:tcPr>
            <w:tcW w:type="dxa" w:w="850"/>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57.02</w:t>
            </w:r>
          </w:p>
        </w:tc>
        <w:tc>
          <w:tcPr>
            <w:tcW w:type="dxa" w:w="907"/>
            <w:vAlign w:val="center"/>
          </w:tcPr>
          <w:p>
            <w:pPr>
              <w:spacing w:after="40" w:before="20" w:line="240" w:lineRule="auto"/>
              <w:ind w:firstLine="0"/>
            </w:pPr>
            <w:r>
              <w:rPr>
                <w:rFonts w:ascii="Times New Roman" w:hAnsi="Times New Roman"/>
                <w:sz w:val="16"/>
              </w:rPr>
              <w:t>57.10</w:t>
            </w:r>
          </w:p>
        </w:tc>
        <w:tc>
          <w:tcPr>
            <w:tcW w:type="dxa" w:w="924"/>
            <w:vAlign w:val="center"/>
          </w:tcPr>
          <w:p>
            <w:pPr>
              <w:spacing w:after="40" w:before="20" w:line="240" w:lineRule="auto"/>
              <w:ind w:firstLine="0"/>
            </w:pPr>
            <w:r>
              <w:rPr>
                <w:rFonts w:ascii="Times New Roman" w:hAnsi="Times New Roman"/>
                <w:sz w:val="16"/>
              </w:rPr>
              <w:t>0.078</w:t>
            </w:r>
          </w:p>
        </w:tc>
      </w:tr>
    </w:tbl>
    <w:p>
      <w:pPr>
        <w:spacing w:after="0"/>
      </w:pPr>
    </w:p>
    <w:p>
      <w:pPr>
        <w:keepNext/>
        <w:ind w:firstLine="0"/>
        <w:jc w:val="center"/>
      </w:pPr>
      <w:r>
        <w:rPr>
          <w:sz w:val="16"/>
        </w:rPr>
        <w:t>TABLE XVIII</w:t>
        <w:br/>
        <w:t>CRITIC-STYLE WEIGHTS ON RETAINED CANDIDATE SCORES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28"/>
        <w:gridCol w:w="1474"/>
        <w:gridCol w:w="1491"/>
      </w:tblGrid>
      <w:tr>
        <w:trPr>
          <w:cantSplit/>
          <w:tblHeader/>
        </w:trPr>
        <w:tc>
          <w:tcPr>
            <w:tcW w:type="dxa" w:w="1928"/>
            <w:vAlign w:val="center"/>
          </w:tcPr>
          <w:p>
            <w:pPr>
              <w:keepNext/>
              <w:spacing w:after="40" w:before="20" w:line="240" w:lineRule="auto"/>
              <w:ind w:firstLine="0"/>
            </w:pPr>
            <w:r>
              <w:rPr>
                <w:rFonts w:ascii="Times New Roman" w:hAnsi="Times New Roman"/>
                <w:b/>
                <w:sz w:val="16"/>
              </w:rPr>
              <w:t>Criterion</w:t>
            </w:r>
          </w:p>
        </w:tc>
        <w:tc>
          <w:tcPr>
            <w:tcW w:type="dxa" w:w="1474"/>
            <w:vAlign w:val="center"/>
          </w:tcPr>
          <w:p>
            <w:pPr>
              <w:keepNext/>
              <w:spacing w:after="40" w:before="20" w:line="240" w:lineRule="auto"/>
              <w:ind w:firstLine="0"/>
            </w:pPr>
            <w:r>
              <w:rPr>
                <w:rFonts w:ascii="Times New Roman" w:hAnsi="Times New Roman"/>
                <w:b/>
                <w:sz w:val="16"/>
              </w:rPr>
              <w:t>10 km weight %</w:t>
            </w:r>
          </w:p>
        </w:tc>
        <w:tc>
          <w:tcPr>
            <w:tcW w:type="dxa" w:w="1491"/>
            <w:vAlign w:val="center"/>
          </w:tcPr>
          <w:p>
            <w:pPr>
              <w:keepNext/>
              <w:spacing w:after="40" w:before="20" w:line="240" w:lineRule="auto"/>
              <w:ind w:firstLine="0"/>
            </w:pPr>
            <w:r>
              <w:rPr>
                <w:rFonts w:ascii="Times New Roman" w:hAnsi="Times New Roman"/>
                <w:b/>
                <w:sz w:val="16"/>
              </w:rPr>
              <w:t>25 km weight %</w:t>
            </w:r>
          </w:p>
        </w:tc>
      </w:tr>
      <w:tr>
        <w:trPr>
          <w:cantSplit/>
        </w:trPr>
        <w:tc>
          <w:tcPr>
            <w:tcW w:type="dxa" w:w="1928"/>
            <w:vAlign w:val="center"/>
          </w:tcPr>
          <w:p>
            <w:pPr>
              <w:keepNext/>
              <w:spacing w:after="40" w:before="20" w:line="240" w:lineRule="auto"/>
              <w:ind w:firstLine="0"/>
            </w:pPr>
            <w:r>
              <w:rPr>
                <w:rFonts w:ascii="Times New Roman" w:hAnsi="Times New Roman"/>
                <w:sz w:val="16"/>
              </w:rPr>
              <w:t>Population</w:t>
            </w:r>
          </w:p>
        </w:tc>
        <w:tc>
          <w:tcPr>
            <w:tcW w:type="dxa" w:w="1474"/>
            <w:vAlign w:val="center"/>
          </w:tcPr>
          <w:p>
            <w:pPr>
              <w:keepNext/>
              <w:spacing w:after="40" w:before="20" w:line="240" w:lineRule="auto"/>
              <w:ind w:firstLine="0"/>
            </w:pPr>
            <w:r>
              <w:rPr>
                <w:rFonts w:ascii="Times New Roman" w:hAnsi="Times New Roman"/>
                <w:sz w:val="16"/>
              </w:rPr>
              <w:t>14.78</w:t>
            </w:r>
          </w:p>
        </w:tc>
        <w:tc>
          <w:tcPr>
            <w:tcW w:type="dxa" w:w="1491"/>
            <w:vAlign w:val="center"/>
          </w:tcPr>
          <w:p>
            <w:pPr>
              <w:keepNext/>
              <w:spacing w:after="40" w:before="20" w:line="240" w:lineRule="auto"/>
              <w:ind w:firstLine="0"/>
            </w:pPr>
            <w:r>
              <w:rPr>
                <w:rFonts w:ascii="Times New Roman" w:hAnsi="Times New Roman"/>
                <w:sz w:val="16"/>
              </w:rPr>
              <w:t>14.35</w:t>
            </w:r>
          </w:p>
        </w:tc>
      </w:tr>
      <w:tr>
        <w:trPr>
          <w:cantSplit/>
        </w:trPr>
        <w:tc>
          <w:tcPr>
            <w:tcW w:type="dxa" w:w="1928"/>
            <w:vAlign w:val="center"/>
          </w:tcPr>
          <w:p>
            <w:pPr>
              <w:keepNext/>
              <w:spacing w:after="40" w:before="20" w:line="240" w:lineRule="auto"/>
              <w:ind w:firstLine="0"/>
            </w:pPr>
            <w:r>
              <w:rPr>
                <w:rFonts w:ascii="Times New Roman" w:hAnsi="Times New Roman"/>
                <w:sz w:val="16"/>
              </w:rPr>
              <w:t>Road</w:t>
            </w:r>
          </w:p>
        </w:tc>
        <w:tc>
          <w:tcPr>
            <w:tcW w:type="dxa" w:w="1474"/>
            <w:vAlign w:val="center"/>
          </w:tcPr>
          <w:p>
            <w:pPr>
              <w:keepNext/>
              <w:spacing w:after="40" w:before="20" w:line="240" w:lineRule="auto"/>
              <w:ind w:firstLine="0"/>
            </w:pPr>
            <w:r>
              <w:rPr>
                <w:rFonts w:ascii="Times New Roman" w:hAnsi="Times New Roman"/>
                <w:sz w:val="16"/>
              </w:rPr>
              <w:t>10.48</w:t>
            </w:r>
          </w:p>
        </w:tc>
        <w:tc>
          <w:tcPr>
            <w:tcW w:type="dxa" w:w="1491"/>
            <w:vAlign w:val="center"/>
          </w:tcPr>
          <w:p>
            <w:pPr>
              <w:keepNext/>
              <w:spacing w:after="40" w:before="20" w:line="240" w:lineRule="auto"/>
              <w:ind w:firstLine="0"/>
            </w:pPr>
            <w:r>
              <w:rPr>
                <w:rFonts w:ascii="Times New Roman" w:hAnsi="Times New Roman"/>
                <w:sz w:val="16"/>
              </w:rPr>
              <w:t>10.87</w:t>
            </w:r>
          </w:p>
        </w:tc>
      </w:tr>
      <w:tr>
        <w:trPr>
          <w:cantSplit/>
        </w:trPr>
        <w:tc>
          <w:tcPr>
            <w:tcW w:type="dxa" w:w="1928"/>
            <w:vAlign w:val="center"/>
          </w:tcPr>
          <w:p>
            <w:pPr>
              <w:keepNext/>
              <w:spacing w:after="40" w:before="20" w:line="240" w:lineRule="auto"/>
              <w:ind w:firstLine="0"/>
            </w:pPr>
            <w:r>
              <w:rPr>
                <w:rFonts w:ascii="Times New Roman" w:hAnsi="Times New Roman"/>
                <w:sz w:val="16"/>
              </w:rPr>
              <w:t>Water</w:t>
            </w:r>
          </w:p>
        </w:tc>
        <w:tc>
          <w:tcPr>
            <w:tcW w:type="dxa" w:w="1474"/>
            <w:vAlign w:val="center"/>
          </w:tcPr>
          <w:p>
            <w:pPr>
              <w:keepNext/>
              <w:spacing w:after="40" w:before="20" w:line="240" w:lineRule="auto"/>
              <w:ind w:firstLine="0"/>
            </w:pPr>
            <w:r>
              <w:rPr>
                <w:rFonts w:ascii="Times New Roman" w:hAnsi="Times New Roman"/>
                <w:sz w:val="16"/>
              </w:rPr>
              <w:t>17.69</w:t>
            </w:r>
          </w:p>
        </w:tc>
        <w:tc>
          <w:tcPr>
            <w:tcW w:type="dxa" w:w="1491"/>
            <w:vAlign w:val="center"/>
          </w:tcPr>
          <w:p>
            <w:pPr>
              <w:keepNext/>
              <w:spacing w:after="40" w:before="20" w:line="240" w:lineRule="auto"/>
              <w:ind w:firstLine="0"/>
            </w:pPr>
            <w:r>
              <w:rPr>
                <w:rFonts w:ascii="Times New Roman" w:hAnsi="Times New Roman"/>
                <w:sz w:val="16"/>
              </w:rPr>
              <w:t>18.33</w:t>
            </w:r>
          </w:p>
        </w:tc>
      </w:tr>
      <w:tr>
        <w:trPr>
          <w:cantSplit/>
        </w:trPr>
        <w:tc>
          <w:tcPr>
            <w:tcW w:type="dxa" w:w="1928"/>
            <w:vAlign w:val="center"/>
          </w:tcPr>
          <w:p>
            <w:pPr>
              <w:keepNext/>
              <w:spacing w:after="40" w:before="20" w:line="240" w:lineRule="auto"/>
              <w:ind w:firstLine="0"/>
            </w:pPr>
            <w:r>
              <w:rPr>
                <w:rFonts w:ascii="Times New Roman" w:hAnsi="Times New Roman"/>
                <w:sz w:val="16"/>
              </w:rPr>
              <w:t>Rail</w:t>
            </w:r>
          </w:p>
        </w:tc>
        <w:tc>
          <w:tcPr>
            <w:tcW w:type="dxa" w:w="1474"/>
            <w:vAlign w:val="center"/>
          </w:tcPr>
          <w:p>
            <w:pPr>
              <w:keepNext/>
              <w:spacing w:after="40" w:before="20" w:line="240" w:lineRule="auto"/>
              <w:ind w:firstLine="0"/>
            </w:pPr>
            <w:r>
              <w:rPr>
                <w:rFonts w:ascii="Times New Roman" w:hAnsi="Times New Roman"/>
                <w:sz w:val="16"/>
              </w:rPr>
              <w:t>10.58</w:t>
            </w:r>
          </w:p>
        </w:tc>
        <w:tc>
          <w:tcPr>
            <w:tcW w:type="dxa" w:w="1491"/>
            <w:vAlign w:val="center"/>
          </w:tcPr>
          <w:p>
            <w:pPr>
              <w:keepNext/>
              <w:spacing w:after="40" w:before="20" w:line="240" w:lineRule="auto"/>
              <w:ind w:firstLine="0"/>
            </w:pPr>
            <w:r>
              <w:rPr>
                <w:rFonts w:ascii="Times New Roman" w:hAnsi="Times New Roman"/>
                <w:sz w:val="16"/>
              </w:rPr>
              <w:t>11.08</w:t>
            </w:r>
          </w:p>
        </w:tc>
      </w:tr>
      <w:tr>
        <w:trPr>
          <w:cantSplit/>
        </w:trPr>
        <w:tc>
          <w:tcPr>
            <w:tcW w:type="dxa" w:w="1928"/>
            <w:vAlign w:val="center"/>
          </w:tcPr>
          <w:p>
            <w:pPr>
              <w:keepNext/>
              <w:spacing w:after="40" w:before="20" w:line="240" w:lineRule="auto"/>
              <w:ind w:firstLine="0"/>
            </w:pPr>
            <w:r>
              <w:rPr>
                <w:rFonts w:ascii="Times New Roman" w:hAnsi="Times New Roman"/>
                <w:sz w:val="16"/>
              </w:rPr>
              <w:t>Air</w:t>
            </w:r>
          </w:p>
        </w:tc>
        <w:tc>
          <w:tcPr>
            <w:tcW w:type="dxa" w:w="1474"/>
            <w:vAlign w:val="center"/>
          </w:tcPr>
          <w:p>
            <w:pPr>
              <w:keepNext/>
              <w:spacing w:after="40" w:before="20" w:line="240" w:lineRule="auto"/>
              <w:ind w:firstLine="0"/>
            </w:pPr>
            <w:r>
              <w:rPr>
                <w:rFonts w:ascii="Times New Roman" w:hAnsi="Times New Roman"/>
                <w:sz w:val="16"/>
              </w:rPr>
              <w:t>11.36</w:t>
            </w:r>
          </w:p>
        </w:tc>
        <w:tc>
          <w:tcPr>
            <w:tcW w:type="dxa" w:w="1491"/>
            <w:vAlign w:val="center"/>
          </w:tcPr>
          <w:p>
            <w:pPr>
              <w:keepNext/>
              <w:spacing w:after="40" w:before="20" w:line="240" w:lineRule="auto"/>
              <w:ind w:firstLine="0"/>
            </w:pPr>
            <w:r>
              <w:rPr>
                <w:rFonts w:ascii="Times New Roman" w:hAnsi="Times New Roman"/>
                <w:sz w:val="16"/>
              </w:rPr>
              <w:t>11.27</w:t>
            </w:r>
          </w:p>
        </w:tc>
      </w:tr>
      <w:tr>
        <w:trPr>
          <w:cantSplit/>
        </w:trPr>
        <w:tc>
          <w:tcPr>
            <w:tcW w:type="dxa" w:w="1928"/>
            <w:vAlign w:val="center"/>
          </w:tcPr>
          <w:p>
            <w:pPr>
              <w:spacing w:after="40" w:before="20" w:line="240" w:lineRule="auto"/>
              <w:ind w:firstLine="0"/>
            </w:pPr>
            <w:r>
              <w:rPr>
                <w:rFonts w:ascii="Times New Roman" w:hAnsi="Times New Roman"/>
                <w:sz w:val="16"/>
              </w:rPr>
              <w:t>Territorial gap</w:t>
            </w:r>
          </w:p>
        </w:tc>
        <w:tc>
          <w:tcPr>
            <w:tcW w:type="dxa" w:w="1474"/>
            <w:vAlign w:val="center"/>
          </w:tcPr>
          <w:p>
            <w:pPr>
              <w:spacing w:after="40" w:before="20" w:line="240" w:lineRule="auto"/>
              <w:ind w:firstLine="0"/>
            </w:pPr>
            <w:r>
              <w:rPr>
                <w:rFonts w:ascii="Times New Roman" w:hAnsi="Times New Roman"/>
                <w:sz w:val="16"/>
              </w:rPr>
              <w:t>35.12</w:t>
            </w:r>
          </w:p>
        </w:tc>
        <w:tc>
          <w:tcPr>
            <w:tcW w:type="dxa" w:w="1491"/>
            <w:vAlign w:val="center"/>
          </w:tcPr>
          <w:p>
            <w:pPr>
              <w:spacing w:after="40" w:before="20" w:line="240" w:lineRule="auto"/>
              <w:ind w:firstLine="0"/>
            </w:pPr>
            <w:r>
              <w:rPr>
                <w:rFonts w:ascii="Times New Roman" w:hAnsi="Times New Roman"/>
                <w:sz w:val="16"/>
              </w:rPr>
              <w:t>34.09</w:t>
            </w:r>
          </w:p>
        </w:tc>
      </w:tr>
    </w:tbl>
    <w:p>
      <w:pPr>
        <w:spacing w:after="0"/>
      </w:pPr>
    </w:p>
    <w:p>
      <w:pPr>
        <w:jc w:val="both"/>
      </w:pPr>
      <w:r>
        <w:t>CRITIC assigns the largest weight to the territorial-gap score: 35.12% at 10 km and 34.09% at 25 km, compared with the assumed 10%. This reflects its dispersion and intercriteria contrast, not measured societal importance. At 10 km, CRITIC changes seven of ten provincial top-centre identities relative to both assumed and uniform weights. At 25 km it changes four of nine relative to assumed weights and three relative to uniform weights. The original allocation is thus not endorsed by this data-derived comparator. Criterion directions, decay scales, candidate sampling and masks remain analyst choices requiring substantive justification. Actual expert responses remain absent, and the main covering objective uses none of these weights.</w:t>
      </w:r>
    </w:p>
    <w:p>
      <w:pPr>
        <w:pStyle w:val="Heading2"/>
        <w:ind w:firstLine="0"/>
        <w:jc w:val="both"/>
      </w:pPr>
      <w:r>
        <w:t>L. New Urban Hub Location Results</w:t>
      </w:r>
    </w:p>
    <w:p>
      <w:pPr>
        <w:jc w:val="both"/>
      </w:pPr>
      <w:r>
        <w:t>All 24 new-centre optimizations terminate with solver status zero and optimality gap zero; recomputed unions match the objective. Their baseline differs from the earlier ten-selected-hub result: here all 26 existing hubs are fixed, and demand resolution is 5 km. Thus WorldPop main-road baseline coverage is 59.08%, not 50.97%; the corresponding GHS-POP value is 68.04%. These are assumed service-distance coverages, not observations of functioning services.</w:t>
      </w:r>
    </w:p>
    <w:p>
      <w:pPr>
        <w:keepNext/>
        <w:ind w:firstLine="0"/>
        <w:jc w:val="center"/>
      </w:pPr>
      <w:r>
        <w:rPr>
          <w:sz w:val="16"/>
        </w:rPr>
        <w:t>TABLE XIX</w:t>
        <w:br/>
        <w:t>ADDITIONAL CENTRES ON THE 25 KM CANDIDATE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907"/>
        <w:gridCol w:w="454"/>
        <w:gridCol w:w="1304"/>
        <w:gridCol w:w="1304"/>
      </w:tblGrid>
      <w:tr>
        <w:trPr>
          <w:cantSplit/>
          <w:tblHeader/>
        </w:trPr>
        <w:tc>
          <w:tcPr>
            <w:tcW w:type="dxa" w:w="907"/>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Product</w:t>
            </w:r>
          </w:p>
        </w:tc>
        <w:tc>
          <w:tcPr>
            <w:tcW w:type="dxa" w:w="454"/>
            <w:vAlign w:val="center"/>
          </w:tcPr>
          <w:p>
            <w:pPr>
              <w:keepNext/>
              <w:spacing w:after="40" w:before="20" w:line="240" w:lineRule="auto"/>
              <w:ind w:firstLine="0"/>
            </w:pPr>
            <w:r>
              <w:rPr>
                <w:rFonts w:ascii="Times New Roman" w:hAnsi="Times New Roman"/>
                <w:b/>
                <w:sz w:val="16"/>
              </w:rPr>
              <w:t>q</w:t>
            </w:r>
          </w:p>
        </w:tc>
        <w:tc>
          <w:tcPr>
            <w:tcW w:type="dxa" w:w="1304"/>
            <w:vAlign w:val="center"/>
          </w:tcPr>
          <w:p>
            <w:pPr>
              <w:keepNext/>
              <w:spacing w:after="40" w:before="20" w:line="240" w:lineRule="auto"/>
              <w:ind w:firstLine="0"/>
            </w:pPr>
            <w:r>
              <w:rPr>
                <w:rFonts w:ascii="Times New Roman" w:hAnsi="Times New Roman"/>
                <w:b/>
                <w:sz w:val="16"/>
              </w:rPr>
              <w:t>Coverage %</w:t>
            </w:r>
          </w:p>
        </w:tc>
        <w:tc>
          <w:tcPr>
            <w:tcW w:type="dxa" w:w="1304"/>
            <w:vAlign w:val="center"/>
          </w:tcPr>
          <w:p>
            <w:pPr>
              <w:keepNext/>
              <w:spacing w:after="40" w:before="20" w:line="240" w:lineRule="auto"/>
              <w:ind w:firstLine="0"/>
            </w:pPr>
            <w:r>
              <w:rPr>
                <w:rFonts w:ascii="Times New Roman" w:hAnsi="Times New Roman"/>
                <w:b/>
                <w:sz w:val="16"/>
              </w:rPr>
              <w:t>Gain pp</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70.81</w:t>
            </w:r>
          </w:p>
        </w:tc>
        <w:tc>
          <w:tcPr>
            <w:tcW w:type="dxa" w:w="1304"/>
            <w:vAlign w:val="center"/>
          </w:tcPr>
          <w:p>
            <w:pPr>
              <w:keepNext/>
              <w:spacing w:after="40" w:before="20" w:line="240" w:lineRule="auto"/>
              <w:ind w:firstLine="0"/>
            </w:pPr>
            <w:r>
              <w:rPr>
                <w:rFonts w:ascii="Times New Roman" w:hAnsi="Times New Roman"/>
                <w:sz w:val="16"/>
              </w:rPr>
              <w:t>2.76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72.50</w:t>
            </w:r>
          </w:p>
        </w:tc>
        <w:tc>
          <w:tcPr>
            <w:tcW w:type="dxa" w:w="1304"/>
            <w:vAlign w:val="center"/>
          </w:tcPr>
          <w:p>
            <w:pPr>
              <w:keepNext/>
              <w:spacing w:after="40" w:before="20" w:line="240" w:lineRule="auto"/>
              <w:ind w:firstLine="0"/>
            </w:pPr>
            <w:r>
              <w:rPr>
                <w:rFonts w:ascii="Times New Roman" w:hAnsi="Times New Roman"/>
                <w:sz w:val="16"/>
              </w:rPr>
              <w:t>4.46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75.96</w:t>
            </w:r>
          </w:p>
        </w:tc>
        <w:tc>
          <w:tcPr>
            <w:tcW w:type="dxa" w:w="1304"/>
            <w:vAlign w:val="center"/>
          </w:tcPr>
          <w:p>
            <w:pPr>
              <w:keepNext/>
              <w:spacing w:after="40" w:before="20" w:line="240" w:lineRule="auto"/>
              <w:ind w:firstLine="0"/>
            </w:pPr>
            <w:r>
              <w:rPr>
                <w:rFonts w:ascii="Times New Roman" w:hAnsi="Times New Roman"/>
                <w:sz w:val="16"/>
              </w:rPr>
              <w:t>7.91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62.59</w:t>
            </w:r>
          </w:p>
        </w:tc>
        <w:tc>
          <w:tcPr>
            <w:tcW w:type="dxa" w:w="1304"/>
            <w:vAlign w:val="center"/>
          </w:tcPr>
          <w:p>
            <w:pPr>
              <w:keepNext/>
              <w:spacing w:after="40" w:before="20" w:line="240" w:lineRule="auto"/>
              <w:ind w:firstLine="0"/>
            </w:pPr>
            <w:r>
              <w:rPr>
                <w:rFonts w:ascii="Times New Roman" w:hAnsi="Times New Roman"/>
                <w:sz w:val="16"/>
              </w:rPr>
              <w:t>3.52</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64.68</w:t>
            </w:r>
          </w:p>
        </w:tc>
        <w:tc>
          <w:tcPr>
            <w:tcW w:type="dxa" w:w="1304"/>
            <w:vAlign w:val="center"/>
          </w:tcPr>
          <w:p>
            <w:pPr>
              <w:keepNext/>
              <w:spacing w:after="40" w:before="20" w:line="240" w:lineRule="auto"/>
              <w:ind w:firstLine="0"/>
            </w:pPr>
            <w:r>
              <w:rPr>
                <w:rFonts w:ascii="Times New Roman" w:hAnsi="Times New Roman"/>
                <w:sz w:val="16"/>
              </w:rPr>
              <w:t>5.61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69.17</w:t>
            </w:r>
          </w:p>
        </w:tc>
        <w:tc>
          <w:tcPr>
            <w:tcW w:type="dxa" w:w="1304"/>
            <w:vAlign w:val="center"/>
          </w:tcPr>
          <w:p>
            <w:pPr>
              <w:keepNext/>
              <w:spacing w:after="40" w:before="20" w:line="240" w:lineRule="auto"/>
              <w:ind w:firstLine="0"/>
            </w:pPr>
            <w:r>
              <w:rPr>
                <w:rFonts w:ascii="Times New Roman" w:hAnsi="Times New Roman"/>
                <w:sz w:val="16"/>
              </w:rPr>
              <w:t>10.09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71.29</w:t>
            </w:r>
          </w:p>
        </w:tc>
        <w:tc>
          <w:tcPr>
            <w:tcW w:type="dxa" w:w="1304"/>
            <w:vAlign w:val="center"/>
          </w:tcPr>
          <w:p>
            <w:pPr>
              <w:keepNext/>
              <w:spacing w:after="40" w:before="20" w:line="240" w:lineRule="auto"/>
              <w:ind w:firstLine="0"/>
            </w:pPr>
            <w:r>
              <w:rPr>
                <w:rFonts w:ascii="Times New Roman" w:hAnsi="Times New Roman"/>
                <w:sz w:val="16"/>
              </w:rPr>
              <w:t>3.06</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73.02</w:t>
            </w:r>
          </w:p>
        </w:tc>
        <w:tc>
          <w:tcPr>
            <w:tcW w:type="dxa" w:w="1304"/>
            <w:vAlign w:val="center"/>
          </w:tcPr>
          <w:p>
            <w:pPr>
              <w:keepNext/>
              <w:spacing w:after="40" w:before="20" w:line="240" w:lineRule="auto"/>
              <w:ind w:firstLine="0"/>
            </w:pPr>
            <w:r>
              <w:rPr>
                <w:rFonts w:ascii="Times New Roman" w:hAnsi="Times New Roman"/>
                <w:sz w:val="16"/>
              </w:rPr>
              <w:t>4.79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76.67</w:t>
            </w:r>
          </w:p>
        </w:tc>
        <w:tc>
          <w:tcPr>
            <w:tcW w:type="dxa" w:w="1304"/>
            <w:vAlign w:val="center"/>
          </w:tcPr>
          <w:p>
            <w:pPr>
              <w:keepNext/>
              <w:spacing w:after="40" w:before="20" w:line="240" w:lineRule="auto"/>
              <w:ind w:firstLine="0"/>
            </w:pPr>
            <w:r>
              <w:rPr>
                <w:rFonts w:ascii="Times New Roman" w:hAnsi="Times New Roman"/>
                <w:sz w:val="16"/>
              </w:rPr>
              <w:t>8.44</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63.91</w:t>
            </w:r>
          </w:p>
        </w:tc>
        <w:tc>
          <w:tcPr>
            <w:tcW w:type="dxa" w:w="1304"/>
            <w:vAlign w:val="center"/>
          </w:tcPr>
          <w:p>
            <w:pPr>
              <w:keepNext/>
              <w:spacing w:after="40" w:before="20" w:line="240" w:lineRule="auto"/>
              <w:ind w:firstLine="0"/>
            </w:pPr>
            <w:r>
              <w:rPr>
                <w:rFonts w:ascii="Times New Roman" w:hAnsi="Times New Roman"/>
                <w:sz w:val="16"/>
              </w:rPr>
              <w:t>4.59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66.09</w:t>
            </w:r>
          </w:p>
        </w:tc>
        <w:tc>
          <w:tcPr>
            <w:tcW w:type="dxa" w:w="1304"/>
            <w:vAlign w:val="center"/>
          </w:tcPr>
          <w:p>
            <w:pPr>
              <w:keepNext/>
              <w:spacing w:after="40" w:before="20" w:line="240" w:lineRule="auto"/>
              <w:ind w:firstLine="0"/>
            </w:pPr>
            <w:r>
              <w:rPr>
                <w:rFonts w:ascii="Times New Roman" w:hAnsi="Times New Roman"/>
                <w:sz w:val="16"/>
              </w:rPr>
              <w:t>6.77</w:t>
            </w:r>
          </w:p>
        </w:tc>
      </w:tr>
      <w:tr>
        <w:trPr>
          <w:cantSplit/>
        </w:trPr>
        <w:tc>
          <w:tcPr>
            <w:tcW w:type="dxa" w:w="907"/>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WP</w:t>
            </w:r>
          </w:p>
        </w:tc>
        <w:tc>
          <w:tcPr>
            <w:tcW w:type="dxa" w:w="454"/>
            <w:vAlign w:val="center"/>
          </w:tcPr>
          <w:p>
            <w:pPr>
              <w:spacing w:after="40" w:before="20" w:line="240" w:lineRule="auto"/>
              <w:ind w:firstLine="0"/>
            </w:pPr>
            <w:r>
              <w:rPr>
                <w:rFonts w:ascii="Times New Roman" w:hAnsi="Times New Roman"/>
                <w:sz w:val="16"/>
              </w:rPr>
              <w:t>10</w:t>
            </w:r>
          </w:p>
        </w:tc>
        <w:tc>
          <w:tcPr>
            <w:tcW w:type="dxa" w:w="1304"/>
            <w:vAlign w:val="center"/>
          </w:tcPr>
          <w:p>
            <w:pPr>
              <w:spacing w:after="40" w:before="20" w:line="240" w:lineRule="auto"/>
              <w:ind w:firstLine="0"/>
            </w:pPr>
            <w:r>
              <w:rPr>
                <w:rFonts w:ascii="Times New Roman" w:hAnsi="Times New Roman"/>
                <w:sz w:val="16"/>
              </w:rPr>
              <w:t>70.55</w:t>
            </w:r>
          </w:p>
        </w:tc>
        <w:tc>
          <w:tcPr>
            <w:tcW w:type="dxa" w:w="1304"/>
            <w:vAlign w:val="center"/>
          </w:tcPr>
          <w:p>
            <w:pPr>
              <w:spacing w:after="40" w:before="20" w:line="240" w:lineRule="auto"/>
              <w:ind w:firstLine="0"/>
            </w:pPr>
            <w:r>
              <w:rPr>
                <w:rFonts w:ascii="Times New Roman" w:hAnsi="Times New Roman"/>
                <w:sz w:val="16"/>
              </w:rPr>
              <w:t>11.23</w:t>
            </w:r>
          </w:p>
        </w:tc>
      </w:tr>
    </w:tbl>
    <w:p>
      <w:pPr>
        <w:spacing w:after="0"/>
      </w:pPr>
    </w:p>
    <w:p>
      <w:pPr>
        <w:jc w:val="both"/>
      </w:pPr>
      <w:r>
        <w:t>With WorldPop and main roads, three, five and ten additional centres increase coverage to 62.59%, 64.68% and 69.17%, equivalent to marginal gains of 3.52, 5.61 and 10.09 percentage points. Five centres add 2.43 million modelled inhabitants to coverage; they do not create that population or predict migration. Including tracks raises the five-centre marginal gain to 6.77 points. Population-product and graph changes affect the attainable benefit, so one solution cannot be presented as a unique territorial optimum.</w:t>
      </w:r>
    </w:p>
    <w:p>
      <w:pPr>
        <w:keepNext/>
        <w:ind w:firstLine="0"/>
        <w:jc w:val="center"/>
      </w:pPr>
      <w:r>
        <w:rPr>
          <w:sz w:val="16"/>
        </w:rPr>
        <w:t>TABLE XX</w:t>
        <w:br/>
        <w:t>FIVE NEW CENTRES ACROSS CANDIDATE GRIDS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020"/>
        <w:gridCol w:w="1020"/>
        <w:gridCol w:w="1417"/>
        <w:gridCol w:w="1417"/>
      </w:tblGrid>
      <w:tr>
        <w:trPr>
          <w:cantSplit/>
          <w:tblHeader/>
        </w:trPr>
        <w:tc>
          <w:tcPr>
            <w:tcW w:type="dxa" w:w="1020"/>
            <w:vAlign w:val="center"/>
          </w:tcPr>
          <w:p>
            <w:pPr>
              <w:keepNext/>
              <w:spacing w:after="40" w:before="20" w:line="240" w:lineRule="auto"/>
              <w:ind w:firstLine="0"/>
            </w:pPr>
            <w:r>
              <w:rPr>
                <w:rFonts w:ascii="Times New Roman" w:hAnsi="Times New Roman"/>
                <w:b/>
                <w:sz w:val="16"/>
              </w:rPr>
              <w:t>Road set</w:t>
            </w:r>
          </w:p>
        </w:tc>
        <w:tc>
          <w:tcPr>
            <w:tcW w:type="dxa" w:w="1020"/>
            <w:vAlign w:val="center"/>
          </w:tcPr>
          <w:p>
            <w:pPr>
              <w:keepNext/>
              <w:spacing w:after="40" w:before="20" w:line="240" w:lineRule="auto"/>
              <w:ind w:firstLine="0"/>
            </w:pPr>
            <w:r>
              <w:rPr>
                <w:rFonts w:ascii="Times New Roman" w:hAnsi="Times New Roman"/>
                <w:b/>
                <w:sz w:val="16"/>
              </w:rPr>
              <w:t>Product</w:t>
            </w:r>
          </w:p>
        </w:tc>
        <w:tc>
          <w:tcPr>
            <w:tcW w:type="dxa" w:w="1417"/>
            <w:vAlign w:val="center"/>
          </w:tcPr>
          <w:p>
            <w:pPr>
              <w:keepNext/>
              <w:spacing w:after="40" w:before="20" w:line="240" w:lineRule="auto"/>
              <w:ind w:firstLine="0"/>
            </w:pPr>
            <w:r>
              <w:rPr>
                <w:rFonts w:ascii="Times New Roman" w:hAnsi="Times New Roman"/>
                <w:b/>
                <w:sz w:val="16"/>
              </w:rPr>
              <w:t>25 km %</w:t>
            </w:r>
          </w:p>
        </w:tc>
        <w:tc>
          <w:tcPr>
            <w:tcW w:type="dxa" w:w="1417"/>
            <w:vAlign w:val="center"/>
          </w:tcPr>
          <w:p>
            <w:pPr>
              <w:keepNext/>
              <w:spacing w:after="40" w:before="20" w:line="240" w:lineRule="auto"/>
              <w:ind w:firstLine="0"/>
            </w:pPr>
            <w:r>
              <w:rPr>
                <w:rFonts w:ascii="Times New Roman" w:hAnsi="Times New Roman"/>
                <w:b/>
                <w:sz w:val="16"/>
              </w:rPr>
              <w:t>10 km %</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64.68</w:t>
            </w:r>
          </w:p>
        </w:tc>
        <w:tc>
          <w:tcPr>
            <w:tcW w:type="dxa" w:w="1417"/>
            <w:vAlign w:val="center"/>
          </w:tcPr>
          <w:p>
            <w:pPr>
              <w:keepNext/>
              <w:spacing w:after="40" w:before="20" w:line="240" w:lineRule="auto"/>
              <w:ind w:firstLine="0"/>
            </w:pPr>
            <w:r>
              <w:rPr>
                <w:rFonts w:ascii="Times New Roman" w:hAnsi="Times New Roman"/>
                <w:sz w:val="16"/>
              </w:rPr>
              <w:t>65.57</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GHS</w:t>
            </w:r>
          </w:p>
        </w:tc>
        <w:tc>
          <w:tcPr>
            <w:tcW w:type="dxa" w:w="1417"/>
            <w:vAlign w:val="center"/>
          </w:tcPr>
          <w:p>
            <w:pPr>
              <w:keepNext/>
              <w:spacing w:after="40" w:before="20" w:line="240" w:lineRule="auto"/>
              <w:ind w:firstLine="0"/>
            </w:pPr>
            <w:r>
              <w:rPr>
                <w:rFonts w:ascii="Times New Roman" w:hAnsi="Times New Roman"/>
                <w:sz w:val="16"/>
              </w:rPr>
              <w:t>72.50</w:t>
            </w:r>
          </w:p>
        </w:tc>
        <w:tc>
          <w:tcPr>
            <w:tcW w:type="dxa" w:w="1417"/>
            <w:vAlign w:val="center"/>
          </w:tcPr>
          <w:p>
            <w:pPr>
              <w:keepNext/>
              <w:spacing w:after="40" w:before="20" w:line="240" w:lineRule="auto"/>
              <w:ind w:firstLine="0"/>
            </w:pPr>
            <w:r>
              <w:rPr>
                <w:rFonts w:ascii="Times New Roman" w:hAnsi="Times New Roman"/>
                <w:sz w:val="16"/>
              </w:rPr>
              <w:t>73.38</w:t>
            </w:r>
          </w:p>
        </w:tc>
      </w:tr>
      <w:tr>
        <w:trPr>
          <w:cantSplit/>
        </w:trPr>
        <w:tc>
          <w:tcPr>
            <w:tcW w:type="dxa" w:w="1020"/>
            <w:vAlign w:val="center"/>
          </w:tcPr>
          <w:p>
            <w:pPr>
              <w:keepNext/>
              <w:spacing w:after="40" w:before="20" w:line="240" w:lineRule="auto"/>
              <w:ind w:firstLine="0"/>
            </w:pPr>
            <w:r>
              <w:rPr>
                <w:rFonts w:ascii="Times New Roman" w:hAnsi="Times New Roman"/>
                <w:sz w:val="16"/>
              </w:rPr>
              <w:t>Tracks</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66.09</w:t>
            </w:r>
          </w:p>
        </w:tc>
        <w:tc>
          <w:tcPr>
            <w:tcW w:type="dxa" w:w="1417"/>
            <w:vAlign w:val="center"/>
          </w:tcPr>
          <w:p>
            <w:pPr>
              <w:keepNext/>
              <w:spacing w:after="40" w:before="20" w:line="240" w:lineRule="auto"/>
              <w:ind w:firstLine="0"/>
            </w:pPr>
            <w:r>
              <w:rPr>
                <w:rFonts w:ascii="Times New Roman" w:hAnsi="Times New Roman"/>
                <w:sz w:val="16"/>
              </w:rPr>
              <w:t>66.63</w:t>
            </w:r>
          </w:p>
        </w:tc>
      </w:tr>
      <w:tr>
        <w:trPr>
          <w:cantSplit/>
        </w:trPr>
        <w:tc>
          <w:tcPr>
            <w:tcW w:type="dxa" w:w="1020"/>
            <w:vAlign w:val="center"/>
          </w:tcPr>
          <w:p>
            <w:pPr>
              <w:spacing w:after="40" w:before="20" w:line="240" w:lineRule="auto"/>
              <w:ind w:firstLine="0"/>
            </w:pPr>
            <w:r>
              <w:rPr>
                <w:rFonts w:ascii="Times New Roman" w:hAnsi="Times New Roman"/>
                <w:sz w:val="16"/>
              </w:rPr>
              <w:t>Tracks</w:t>
            </w:r>
          </w:p>
        </w:tc>
        <w:tc>
          <w:tcPr>
            <w:tcW w:type="dxa" w:w="1020"/>
            <w:vAlign w:val="center"/>
          </w:tcPr>
          <w:p>
            <w:pPr>
              <w:spacing w:after="40" w:before="20" w:line="240" w:lineRule="auto"/>
              <w:ind w:firstLine="0"/>
            </w:pPr>
            <w:r>
              <w:rPr>
                <w:rFonts w:ascii="Times New Roman" w:hAnsi="Times New Roman"/>
                <w:sz w:val="16"/>
              </w:rPr>
              <w:t>GHS</w:t>
            </w:r>
          </w:p>
        </w:tc>
        <w:tc>
          <w:tcPr>
            <w:tcW w:type="dxa" w:w="1417"/>
            <w:vAlign w:val="center"/>
          </w:tcPr>
          <w:p>
            <w:pPr>
              <w:spacing w:after="40" w:before="20" w:line="240" w:lineRule="auto"/>
              <w:ind w:firstLine="0"/>
            </w:pPr>
            <w:r>
              <w:rPr>
                <w:rFonts w:ascii="Times New Roman" w:hAnsi="Times New Roman"/>
                <w:sz w:val="16"/>
              </w:rPr>
              <w:t>73.02</w:t>
            </w:r>
          </w:p>
        </w:tc>
        <w:tc>
          <w:tcPr>
            <w:tcW w:type="dxa" w:w="1417"/>
            <w:vAlign w:val="center"/>
          </w:tcPr>
          <w:p>
            <w:pPr>
              <w:spacing w:after="40" w:before="20" w:line="240" w:lineRule="auto"/>
              <w:ind w:firstLine="0"/>
            </w:pPr>
            <w:r>
              <w:rPr>
                <w:rFonts w:ascii="Times New Roman" w:hAnsi="Times New Roman"/>
                <w:sz w:val="16"/>
              </w:rPr>
              <w:t>73.90</w:t>
            </w:r>
          </w:p>
        </w:tc>
      </w:tr>
    </w:tbl>
    <w:p>
      <w:pPr>
        <w:spacing w:after="0"/>
      </w:pPr>
    </w:p>
    <w:p>
      <w:pPr>
        <w:jc w:val="both"/>
      </w:pPr>
      <w:r>
        <w:t>On the 10-km candidate grid, five centres reach 65.57% WorldPop main-road coverage, a gain of 6.49 points or 2.81 million modelled inhabitants beyond the fixed baseline. Its gain is 0.88 point above the coarse-grid gain. The corresponding GHS-POP gain rises from 4.46 to 5.34 points. With tracks, finer-grid gains are 7.32 points for WorldPop and 5.67 for GHS-POP. These grids are not nested candidate subsets, so monotonicity is not guaranteed generally; the observed improvement is specific to these runs. The 25-km strict screen omits Équateur, and point-level land cover does not establish the suitability of an entire grid cell.</w:t>
      </w:r>
    </w:p>
    <w:p>
      <w:pPr>
        <w:keepNext/>
        <w:ind w:firstLine="0"/>
        <w:jc w:val="center"/>
      </w:pPr>
      <w:r>
        <w:drawing>
          <wp:inline xmlns:a="http://schemas.openxmlformats.org/drawingml/2006/main" xmlns:pic="http://schemas.openxmlformats.org/drawingml/2006/picture">
            <wp:extent cx="3072384" cy="3474720"/>
            <wp:docPr id="6" name="Picture 6"/>
            <wp:cNvGraphicFramePr>
              <a:graphicFrameLocks noChangeAspect="1"/>
            </wp:cNvGraphicFramePr>
            <a:graphic>
              <a:graphicData uri="http://schemas.openxmlformats.org/drawingml/2006/picture">
                <pic:pic>
                  <pic:nvPicPr>
                    <pic:cNvPr id="0" name="new_hub_grid_map.png"/>
                    <pic:cNvPicPr/>
                  </pic:nvPicPr>
                  <pic:blipFill>
                    <a:blip r:embed="rId16"/>
                    <a:stretch>
                      <a:fillRect/>
                    </a:stretch>
                  </pic:blipFill>
                  <pic:spPr>
                    <a:xfrm>
                      <a:off x="0" y="0"/>
                      <a:ext cx="3072384" cy="3474720"/>
                    </a:xfrm>
                    <a:prstGeom prst="rect"/>
                  </pic:spPr>
                </pic:pic>
              </a:graphicData>
            </a:graphic>
          </wp:inline>
        </w:drawing>
      </w:r>
    </w:p>
    <w:p>
      <w:pPr>
        <w:ind w:firstLine="0"/>
        <w:jc w:val="both"/>
      </w:pPr>
      <w:r>
        <w:rPr>
          <w:sz w:val="16"/>
        </w:rPr>
        <w:t>Fig. 6. One optimal five-new-centre set for WorldPop and main roads on each candidate grid, with all 26 existing hubs fixed. N1–N5 refer to Table XXI. Coordinates locate sampled sectors, not construction parcels. Boundary: geoBoundaries; optimization inputs: OSM, WorldPop, WorldCover and protected-area screening.</w:t>
      </w:r>
    </w:p>
    <w:p>
      <w:pPr>
        <w:keepNext/>
        <w:ind w:firstLine="0"/>
        <w:jc w:val="center"/>
      </w:pPr>
      <w:r>
        <w:rPr>
          <w:sz w:val="16"/>
        </w:rPr>
        <w:t>TABLE XXI</w:t>
        <w:br/>
        <w:t>ONE OPTIMAL FIVE CENTRE SET ON THE 10 KM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510"/>
        <w:gridCol w:w="1417"/>
        <w:gridCol w:w="964"/>
        <w:gridCol w:w="964"/>
        <w:gridCol w:w="1020"/>
      </w:tblGrid>
      <w:tr>
        <w:trPr>
          <w:cantSplit/>
          <w:tblHeader/>
        </w:trPr>
        <w:tc>
          <w:tcPr>
            <w:tcW w:type="dxa" w:w="510"/>
            <w:vAlign w:val="center"/>
          </w:tcPr>
          <w:p>
            <w:pPr>
              <w:keepNext/>
              <w:spacing w:after="40" w:before="20" w:line="240" w:lineRule="auto"/>
              <w:ind w:firstLine="0"/>
            </w:pPr>
            <w:r>
              <w:rPr>
                <w:rFonts w:ascii="Times New Roman" w:hAnsi="Times New Roman"/>
                <w:b/>
                <w:sz w:val="16"/>
              </w:rPr>
              <w:t>Site</w:t>
            </w:r>
          </w:p>
        </w:tc>
        <w:tc>
          <w:tcPr>
            <w:tcW w:type="dxa" w:w="1417"/>
            <w:vAlign w:val="center"/>
          </w:tcPr>
          <w:p>
            <w:pPr>
              <w:keepNext/>
              <w:spacing w:after="40" w:before="20" w:line="240" w:lineRule="auto"/>
              <w:ind w:firstLine="0"/>
            </w:pPr>
            <w:r>
              <w:rPr>
                <w:rFonts w:ascii="Times New Roman" w:hAnsi="Times New Roman"/>
                <w:b/>
                <w:sz w:val="16"/>
              </w:rPr>
              <w:t>Province</w:t>
            </w:r>
          </w:p>
        </w:tc>
        <w:tc>
          <w:tcPr>
            <w:tcW w:type="dxa" w:w="964"/>
            <w:vAlign w:val="center"/>
          </w:tcPr>
          <w:p>
            <w:pPr>
              <w:keepNext/>
              <w:spacing w:after="40" w:before="20" w:line="240" w:lineRule="auto"/>
              <w:ind w:firstLine="0"/>
            </w:pPr>
            <w:r>
              <w:rPr>
                <w:rFonts w:ascii="Times New Roman" w:hAnsi="Times New Roman"/>
                <w:b/>
                <w:sz w:val="16"/>
              </w:rPr>
              <w:t>Lon °</w:t>
            </w:r>
          </w:p>
        </w:tc>
        <w:tc>
          <w:tcPr>
            <w:tcW w:type="dxa" w:w="964"/>
            <w:vAlign w:val="center"/>
          </w:tcPr>
          <w:p>
            <w:pPr>
              <w:keepNext/>
              <w:spacing w:after="40" w:before="20" w:line="240" w:lineRule="auto"/>
              <w:ind w:firstLine="0"/>
            </w:pPr>
            <w:r>
              <w:rPr>
                <w:rFonts w:ascii="Times New Roman" w:hAnsi="Times New Roman"/>
                <w:b/>
                <w:sz w:val="16"/>
              </w:rPr>
              <w:t>Lat °</w:t>
            </w:r>
          </w:p>
        </w:tc>
        <w:tc>
          <w:tcPr>
            <w:tcW w:type="dxa" w:w="1020"/>
            <w:vAlign w:val="center"/>
          </w:tcPr>
          <w:p>
            <w:pPr>
              <w:keepNext/>
              <w:spacing w:after="40" w:before="20" w:line="240" w:lineRule="auto"/>
              <w:ind w:firstLine="0"/>
            </w:pPr>
            <w:r>
              <w:rPr>
                <w:rFonts w:ascii="Times New Roman" w:hAnsi="Times New Roman"/>
                <w:b/>
                <w:sz w:val="16"/>
              </w:rPr>
              <w:t>Water km</w:t>
            </w:r>
          </w:p>
        </w:tc>
      </w:tr>
      <w:tr>
        <w:trPr>
          <w:cantSplit/>
        </w:trPr>
        <w:tc>
          <w:tcPr>
            <w:tcW w:type="dxa" w:w="510"/>
            <w:vAlign w:val="center"/>
          </w:tcPr>
          <w:p>
            <w:pPr>
              <w:keepNext/>
              <w:spacing w:after="40" w:before="20" w:line="240" w:lineRule="auto"/>
              <w:ind w:firstLine="0"/>
            </w:pPr>
            <w:r>
              <w:rPr>
                <w:rFonts w:ascii="Times New Roman" w:hAnsi="Times New Roman"/>
                <w:sz w:val="16"/>
              </w:rPr>
              <w:t>N1</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17.982</w:t>
            </w:r>
          </w:p>
        </w:tc>
        <w:tc>
          <w:tcPr>
            <w:tcW w:type="dxa" w:w="964"/>
            <w:vAlign w:val="center"/>
          </w:tcPr>
          <w:p>
            <w:pPr>
              <w:keepNext/>
              <w:spacing w:after="40" w:before="20" w:line="240" w:lineRule="auto"/>
              <w:ind w:firstLine="0"/>
            </w:pPr>
            <w:r>
              <w:rPr>
                <w:rFonts w:ascii="Times New Roman" w:hAnsi="Times New Roman"/>
                <w:sz w:val="16"/>
              </w:rPr>
              <w:t>-5.377</w:t>
            </w:r>
          </w:p>
        </w:tc>
        <w:tc>
          <w:tcPr>
            <w:tcW w:type="dxa" w:w="1020"/>
            <w:vAlign w:val="center"/>
          </w:tcPr>
          <w:p>
            <w:pPr>
              <w:keepNext/>
              <w:spacing w:after="40" w:before="20" w:line="240" w:lineRule="auto"/>
              <w:ind w:firstLine="0"/>
            </w:pPr>
            <w:r>
              <w:rPr>
                <w:rFonts w:ascii="Times New Roman" w:hAnsi="Times New Roman"/>
                <w:sz w:val="16"/>
              </w:rPr>
              <w:t>23.87</w:t>
            </w:r>
          </w:p>
        </w:tc>
      </w:tr>
      <w:tr>
        <w:trPr>
          <w:cantSplit/>
        </w:trPr>
        <w:tc>
          <w:tcPr>
            <w:tcW w:type="dxa" w:w="510"/>
            <w:vAlign w:val="center"/>
          </w:tcPr>
          <w:p>
            <w:pPr>
              <w:keepNext/>
              <w:spacing w:after="40" w:before="20" w:line="240" w:lineRule="auto"/>
              <w:ind w:firstLine="0"/>
            </w:pPr>
            <w:r>
              <w:rPr>
                <w:rFonts w:ascii="Times New Roman" w:hAnsi="Times New Roman"/>
                <w:sz w:val="16"/>
              </w:rPr>
              <w:t>N2</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18.604</w:t>
            </w:r>
          </w:p>
        </w:tc>
        <w:tc>
          <w:tcPr>
            <w:tcW w:type="dxa" w:w="964"/>
            <w:vAlign w:val="center"/>
          </w:tcPr>
          <w:p>
            <w:pPr>
              <w:keepNext/>
              <w:spacing w:after="40" w:before="20" w:line="240" w:lineRule="auto"/>
              <w:ind w:firstLine="0"/>
            </w:pPr>
            <w:r>
              <w:rPr>
                <w:rFonts w:ascii="Times New Roman" w:hAnsi="Times New Roman"/>
                <w:sz w:val="16"/>
              </w:rPr>
              <w:t>-4.119</w:t>
            </w:r>
          </w:p>
        </w:tc>
        <w:tc>
          <w:tcPr>
            <w:tcW w:type="dxa" w:w="1020"/>
            <w:vAlign w:val="center"/>
          </w:tcPr>
          <w:p>
            <w:pPr>
              <w:keepNext/>
              <w:spacing w:after="40" w:before="20" w:line="240" w:lineRule="auto"/>
              <w:ind w:firstLine="0"/>
            </w:pPr>
            <w:r>
              <w:rPr>
                <w:rFonts w:ascii="Times New Roman" w:hAnsi="Times New Roman"/>
                <w:sz w:val="16"/>
              </w:rPr>
              <w:t>24.49</w:t>
            </w:r>
          </w:p>
        </w:tc>
      </w:tr>
      <w:tr>
        <w:trPr>
          <w:cantSplit/>
        </w:trPr>
        <w:tc>
          <w:tcPr>
            <w:tcW w:type="dxa" w:w="510"/>
            <w:vAlign w:val="center"/>
          </w:tcPr>
          <w:p>
            <w:pPr>
              <w:keepNext/>
              <w:spacing w:after="40" w:before="20" w:line="240" w:lineRule="auto"/>
              <w:ind w:firstLine="0"/>
            </w:pPr>
            <w:r>
              <w:rPr>
                <w:rFonts w:ascii="Times New Roman" w:hAnsi="Times New Roman"/>
                <w:sz w:val="16"/>
              </w:rPr>
              <w:t>N3</w:t>
            </w:r>
          </w:p>
        </w:tc>
        <w:tc>
          <w:tcPr>
            <w:tcW w:type="dxa" w:w="1417"/>
            <w:vAlign w:val="center"/>
          </w:tcPr>
          <w:p>
            <w:pPr>
              <w:keepNext/>
              <w:spacing w:after="40" w:before="20" w:line="240" w:lineRule="auto"/>
              <w:ind w:firstLine="0"/>
            </w:pPr>
            <w:r>
              <w:rPr>
                <w:rFonts w:ascii="Times New Roman" w:hAnsi="Times New Roman"/>
                <w:sz w:val="16"/>
              </w:rPr>
              <w:t>Sud-Ubangi</w:t>
            </w:r>
          </w:p>
        </w:tc>
        <w:tc>
          <w:tcPr>
            <w:tcW w:type="dxa" w:w="964"/>
            <w:vAlign w:val="center"/>
          </w:tcPr>
          <w:p>
            <w:pPr>
              <w:keepNext/>
              <w:spacing w:after="40" w:before="20" w:line="240" w:lineRule="auto"/>
              <w:ind w:firstLine="0"/>
            </w:pPr>
            <w:r>
              <w:rPr>
                <w:rFonts w:ascii="Times New Roman" w:hAnsi="Times New Roman"/>
                <w:sz w:val="16"/>
              </w:rPr>
              <w:t>19.122</w:t>
            </w:r>
          </w:p>
        </w:tc>
        <w:tc>
          <w:tcPr>
            <w:tcW w:type="dxa" w:w="964"/>
            <w:vAlign w:val="center"/>
          </w:tcPr>
          <w:p>
            <w:pPr>
              <w:keepNext/>
              <w:spacing w:after="40" w:before="20" w:line="240" w:lineRule="auto"/>
              <w:ind w:firstLine="0"/>
            </w:pPr>
            <w:r>
              <w:rPr>
                <w:rFonts w:ascii="Times New Roman" w:hAnsi="Times New Roman"/>
                <w:sz w:val="16"/>
              </w:rPr>
              <w:t>2.627</w:t>
            </w:r>
          </w:p>
        </w:tc>
        <w:tc>
          <w:tcPr>
            <w:tcW w:type="dxa" w:w="1020"/>
            <w:vAlign w:val="center"/>
          </w:tcPr>
          <w:p>
            <w:pPr>
              <w:keepNext/>
              <w:spacing w:after="40" w:before="20" w:line="240" w:lineRule="auto"/>
              <w:ind w:firstLine="0"/>
            </w:pPr>
            <w:r>
              <w:rPr>
                <w:rFonts w:ascii="Times New Roman" w:hAnsi="Times New Roman"/>
                <w:sz w:val="16"/>
              </w:rPr>
              <w:t>9.19</w:t>
            </w:r>
          </w:p>
        </w:tc>
      </w:tr>
      <w:tr>
        <w:trPr>
          <w:cantSplit/>
        </w:trPr>
        <w:tc>
          <w:tcPr>
            <w:tcW w:type="dxa" w:w="510"/>
            <w:vAlign w:val="center"/>
          </w:tcPr>
          <w:p>
            <w:pPr>
              <w:keepNext/>
              <w:spacing w:after="40" w:before="20" w:line="240" w:lineRule="auto"/>
              <w:ind w:firstLine="0"/>
            </w:pPr>
            <w:r>
              <w:rPr>
                <w:rFonts w:ascii="Times New Roman" w:hAnsi="Times New Roman"/>
                <w:sz w:val="16"/>
              </w:rPr>
              <w:t>N4</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19.433</w:t>
            </w:r>
          </w:p>
        </w:tc>
        <w:tc>
          <w:tcPr>
            <w:tcW w:type="dxa" w:w="964"/>
            <w:vAlign w:val="center"/>
          </w:tcPr>
          <w:p>
            <w:pPr>
              <w:keepNext/>
              <w:spacing w:after="40" w:before="20" w:line="240" w:lineRule="auto"/>
              <w:ind w:firstLine="0"/>
            </w:pPr>
            <w:r>
              <w:rPr>
                <w:rFonts w:ascii="Times New Roman" w:hAnsi="Times New Roman"/>
                <w:sz w:val="16"/>
              </w:rPr>
              <w:t>-5.692</w:t>
            </w:r>
          </w:p>
        </w:tc>
        <w:tc>
          <w:tcPr>
            <w:tcW w:type="dxa" w:w="1020"/>
            <w:vAlign w:val="center"/>
          </w:tcPr>
          <w:p>
            <w:pPr>
              <w:keepNext/>
              <w:spacing w:after="40" w:before="20" w:line="240" w:lineRule="auto"/>
              <w:ind w:firstLine="0"/>
            </w:pPr>
            <w:r>
              <w:rPr>
                <w:rFonts w:ascii="Times New Roman" w:hAnsi="Times New Roman"/>
                <w:sz w:val="16"/>
              </w:rPr>
              <w:t>5.81</w:t>
            </w:r>
          </w:p>
        </w:tc>
      </w:tr>
      <w:tr>
        <w:trPr>
          <w:cantSplit/>
        </w:trPr>
        <w:tc>
          <w:tcPr>
            <w:tcW w:type="dxa" w:w="510"/>
            <w:vAlign w:val="center"/>
          </w:tcPr>
          <w:p>
            <w:pPr>
              <w:spacing w:after="40" w:before="20" w:line="240" w:lineRule="auto"/>
              <w:ind w:firstLine="0"/>
            </w:pPr>
            <w:r>
              <w:rPr>
                <w:rFonts w:ascii="Times New Roman" w:hAnsi="Times New Roman"/>
                <w:sz w:val="16"/>
              </w:rPr>
              <w:t>N5</w:t>
            </w:r>
          </w:p>
        </w:tc>
        <w:tc>
          <w:tcPr>
            <w:tcW w:type="dxa" w:w="1417"/>
            <w:vAlign w:val="center"/>
          </w:tcPr>
          <w:p>
            <w:pPr>
              <w:spacing w:after="40" w:before="20" w:line="240" w:lineRule="auto"/>
              <w:ind w:firstLine="0"/>
            </w:pPr>
            <w:r>
              <w:rPr>
                <w:rFonts w:ascii="Times New Roman" w:hAnsi="Times New Roman"/>
                <w:sz w:val="16"/>
              </w:rPr>
              <w:t>Mongala</w:t>
            </w:r>
          </w:p>
        </w:tc>
        <w:tc>
          <w:tcPr>
            <w:tcW w:type="dxa" w:w="964"/>
            <w:vAlign w:val="center"/>
          </w:tcPr>
          <w:p>
            <w:pPr>
              <w:spacing w:after="40" w:before="20" w:line="240" w:lineRule="auto"/>
              <w:ind w:firstLine="0"/>
            </w:pPr>
            <w:r>
              <w:rPr>
                <w:rFonts w:ascii="Times New Roman" w:hAnsi="Times New Roman"/>
                <w:sz w:val="16"/>
              </w:rPr>
              <w:t>21.402</w:t>
            </w:r>
          </w:p>
        </w:tc>
        <w:tc>
          <w:tcPr>
            <w:tcW w:type="dxa" w:w="964"/>
            <w:vAlign w:val="center"/>
          </w:tcPr>
          <w:p>
            <w:pPr>
              <w:spacing w:after="40" w:before="20" w:line="240" w:lineRule="auto"/>
              <w:ind w:firstLine="0"/>
            </w:pPr>
            <w:r>
              <w:rPr>
                <w:rFonts w:ascii="Times New Roman" w:hAnsi="Times New Roman"/>
                <w:sz w:val="16"/>
              </w:rPr>
              <w:t>2.862</w:t>
            </w:r>
          </w:p>
        </w:tc>
        <w:tc>
          <w:tcPr>
            <w:tcW w:type="dxa" w:w="1020"/>
            <w:vAlign w:val="center"/>
          </w:tcPr>
          <w:p>
            <w:pPr>
              <w:spacing w:after="40" w:before="20" w:line="240" w:lineRule="auto"/>
              <w:ind w:firstLine="0"/>
            </w:pPr>
            <w:r>
              <w:rPr>
                <w:rFonts w:ascii="Times New Roman" w:hAnsi="Times New Roman"/>
                <w:sz w:val="16"/>
              </w:rPr>
              <w:t>12.38</w:t>
            </w:r>
          </w:p>
        </w:tc>
      </w:tr>
    </w:tbl>
    <w:p>
      <w:pPr>
        <w:spacing w:after="0"/>
      </w:pPr>
    </w:p>
    <w:p>
      <w:pPr>
        <w:jc w:val="both"/>
      </w:pPr>
      <w:r>
        <w:t>The identifiers in the supplementary table retain exact input coordinates and grid indices. Changing grids changes selected sectors: the five-centre WorldPop main-road set spans Kwilu, Sud-Ubangi and Mongala on the 10-km grid, compared with Kwango, Kwilu, Sud-Ubangi and Nord-Ubangi on the 25-km grid. No province quota is imposed. This concentration reflects the marginal coverage objective and screened opportunities; it does not justify excluding other provinces from investment. Optimality is conditional on the candidate set and encoded distances, not on urban viability, public costs or provincial equity.</w:t>
      </w:r>
    </w:p>
    <w:p>
      <w:pPr>
        <w:pStyle w:val="Heading2"/>
        <w:ind w:firstLine="0"/>
        <w:jc w:val="both"/>
      </w:pPr>
      <w:r>
        <w:t>M. Resource Conditions and Functional Autonomy Interpretation</w:t>
      </w:r>
    </w:p>
    <w:p>
      <w:pPr>
        <w:jc w:val="both"/>
      </w:pPr>
      <w:r>
        <w:t>The optional mapped-water constraint reduces WorldPop five-centre coverage from 64.68% to 64.58% on the coarse main-road grid, and from 65.57% to 65.43% on the fine grid. The respective losses are 0.11 and 0.14 point, with different selected identities possible. For GHS-POP and main roads, the coarse loss is 0.03 point and the fine-grid optimal objective is unchanged. Across all matched road/product/grid comparisons the largest loss is 0.26 point. This quantifies an explicit coverage–resource-proximity trade-off; it neither proves water sufficiency nor ranks normative priorities.</w:t>
      </w:r>
    </w:p>
    <w:p>
      <w:pPr>
        <w:jc w:val="both"/>
      </w:pPr>
      <w:r>
        <w:t>N1 and N2 in the fine-grid unconstrained WorldPop example lie approximately 23.87 and 24.49 km from mapped water. Their access advantage therefore cannot be interpreted as water autonomy; an implementation dossier would need a source and supply design. N3–N5 are within 15 km, but still lack measured water quality, reliable energy, production, jobs and service capacity. None is labelled a proven sovereign city. Their role is to identify sectors where a new hub or settlement upgrade could serve otherwise uncovered modelled demand, and where functional investments could be investigated.</w:t>
      </w:r>
    </w:p>
    <w:p>
      <w:pPr>
        <w:jc w:val="both"/>
      </w:pPr>
      <w:r>
        <w:t>The new-centre module restores the planning question without reviving the old arbitrary preference ranking. Historical network orientation remains relevant context, while a causal colonial attribution is outside the executed design. Likewise, a coverage gain is not evidence that trade dependence on Kinshasa decreases. Productive and service functions, interprovincial exchanges and governance must be specified and observed before that conclusion. The principal validation gap remains household/service-access observations compatible with the same modes, dates and locations; exact solver gaps do not close it.</w:t>
      </w:r>
    </w:p>
    <w:p>
      <w:pPr>
        <w:pStyle w:val="Heading1"/>
        <w:ind w:firstLine="0"/>
        <w:jc w:val="both"/>
      </w:pPr>
      <w:r>
        <w:t>IV. CONCLUSION</w:t>
      </w:r>
    </w:p>
    <w:p>
      <w:pPr>
        <w:jc w:val="both"/>
      </w:pPr>
      <w:r>
        <w:t>Conditional new-centre allocation extends the original territorial ambition beyond selecting existing hubs. Keeping all 26 existing hubs fixed, five additional centres on the coarse grid increase WorldPop main-road five-kilometre-demand coverage from 59.08% to 64.68%; the finer candidate grid reaches 65.57%. Ten coarse-grid centres reach 69.17%. These are exact optima for the encoded candidate sets and assumed 100-km access threshold, not established construction plans. Product, road and candidate-grid choices materially affect the solutions.</w:t>
      </w:r>
    </w:p>
    <w:p>
      <w:pPr>
        <w:jc w:val="both"/>
      </w:pPr>
      <w:r>
        <w:t>New urban hubs remain the planning objective, and relative functional autonomy is retained as a specified assessment framework. The model locates sectors with conditional marginal service benefits and evaluates one explicit water-proximity constraint. It does not establish reliable utilities, local transformation, employment, observed trade independence or parcel feasibility. Historical causation is not estimated. The previous input and sensitivity audits remain necessary: mapped connectivity, population modelling and assumed connectors constrain interpretation. Twenty-four new-centre runs complement 408 previous optimizations. Neither the optimum count of cities nor their realized sovereignty is demonstrated. Matched access observations, operational verification, rights and cost studies, and functional data are required before implementation; the main new-centre objective does not depend on an unavailable expert panel.</w:t>
      </w:r>
    </w:p>
    <w:p>
      <w:pPr>
        <w:pStyle w:val="Heading1"/>
        <w:ind w:firstLine="0"/>
        <w:jc w:val="both"/>
      </w:pPr>
      <w:r>
        <w:t>DATA AND AUTHOR STATEMENTS</w:t>
      </w:r>
    </w:p>
    <w:p>
      <w:pPr>
        <w:jc w:val="both"/>
      </w:pPr>
      <w:r>
        <w:t>The replication package provides scripts, derived results, parameters, source metadata, checksums, and reproduction instructions. The original v1.0.0 archive (https://doi.org/10.5281/zenodo.22287394) predates these revisions. The repository is https://github.com/Nehemy29/rdc-hubs-urbains-optimisation-spatiale. Revised files accompany resubmission and require a new public release with its own archive citation. Large raw third-party datasets are reacquired from their producers under documented terms. The small OSM ferry extract and OSM-derived diagnostic paths are supplied with ODbL attribution; protected-area and satellite reference geometries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ind w:firstLine="0"/>
      </w:pPr>
      <w:r>
        <w:rPr>
          <w:sz w:val="16"/>
        </w:rPr>
        <w:t>[37] Logistics Cluster, “Democratic Republic of Congo: Distances—Roads &amp; Waterways,” 6 Sep. 2018, map/table CODDISTCAPITTOMAJORTOWN4L. [Online]. Available: https://logcluster.org/sites/default/files/public/maps/coddistcapittomajortown4l_20180906.pdf. Accessed: 8 Oct. 2026.</w:t>
      </w:r>
    </w:p>
    <w:p>
      <w:pPr>
        <w:ind w:firstLine="0"/>
      </w:pPr>
      <w:r>
        <w:rPr>
          <w:sz w:val="16"/>
        </w:rPr>
        <w:t>[38] Logistics Cluster, “RDC—Territoires de Kwamouth, Bagata, Kenge et Bandundu: contraintes d’accès physiques et logistiques,” 18 Apr. 2024. Available: https://logcluster.org/sites/default/files/public/2024-04/codaccessconstraintcrisekwamouthmaindombea3l_20240418.pdf. Accessed: 8 Oct. 2026.</w:t>
      </w:r>
    </w:p>
    <w:p>
      <w:pPr>
        <w:ind w:firstLine="0"/>
      </w:pPr>
      <w:r>
        <w:rPr>
          <w:sz w:val="16"/>
        </w:rPr>
        <w:t>[39] OpenStreetMap contributors, “Bac Bandundu ferry geometry,” ways 49809124, 980566897 and 980566898, retrieved via Overpass on 8 Oct. 2026, ODbL 1.0. Available: https://www.openstreetmap.org/way/49809124.</w:t>
      </w:r>
    </w:p>
    <w:p>
      <w:pPr>
        <w:ind w:firstLine="0"/>
      </w:pPr>
      <w:r>
        <w:rPr>
          <w:sz w:val="16"/>
        </w:rPr>
        <w:t>[40] D. Diakoulaki, G. Mavrotas, and L. Papayannakis, “Determining objective weights in multiple criteria problems: The CRITIC method,” Computers &amp; Operations Research, vol. 22, no. 7, pp. 763–770, 1995, doi: 10.1016/0305-0548(94)00059-H.</w:t>
      </w:r>
    </w:p>
    <w:p>
      <w:pPr>
        <w:sectPr>
          <w:type w:val="continuous"/>
          <w:pgSz w:w="11906" w:h="16838"/>
          <w:pgMar w:top="1077" w:right="812" w:bottom="1587" w:left="812" w:header="720" w:footer="720" w:gutter="0"/>
          <w:cols w:space="482" w:num="2" w:equalWidth="1"/>
          <w:docGrid w:linePitch="360"/>
        </w:sectPr>
      </w:pPr>
    </w:p>
    <w:p>
      <w:pPr>
        <w:ind w:firstLine="0"/>
      </w:pPr>
      <w:r>
        <w:rPr>
          <w:rFonts w:ascii="Times New Roman" w:hAnsi="Times New Roman"/>
          <w:sz w:val="16"/>
        </w:rPr>
        <w:t>[41] UN-Habitat, Urban-Rural Linkages: Guiding Principles and Framework for Action to Advance Integrated Territorial Development. Nairobi, 2019. Available: https://unhabitat.org/urban-rural-linkages-guiding-principles.</w:t>
      </w:r>
    </w:p>
    <w:p>
      <w:pPr>
        <w:ind w:firstLine="0"/>
      </w:pPr>
      <w:r>
        <w:rPr>
          <w:rFonts w:ascii="Times New Roman" w:hAnsi="Times New Roman"/>
          <w:sz w:val="16"/>
        </w:rPr>
        <w:t>[42] M. Brezzi and P. Veneri, “Assessing Polycentric Urban Systems in the OECD: Country, Regional and Metropolitan Perspectives,” OECD Regional Development Working Papers, No. 2014/01, 2014, doi: 10.1787/5jz5mpdkmvnr-en.</w:t>
      </w: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