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t>Response to Reviewers — Submission 6222</w:t>
      </w:r>
    </w:p>
    <w:p>
      <w:pPr>
        <w:spacing w:after="40"/>
        <w:jc w:val="both"/>
      </w:pPr>
      <w:r>
        <w:rPr>
          <w:sz w:val="19"/>
        </w:rPr>
        <w:t>Original title: From Colonial Spatial Structures to Sovereign Spatial Planning: Multimodal Network Modelling and Optimal Location of New Urban Hubs in the Democratic Republic of the Congo Using Spatial Data Science.</w:t>
      </w:r>
    </w:p>
    <w:p>
      <w:pPr>
        <w:spacing w:after="40"/>
        <w:jc w:val="both"/>
      </w:pPr>
      <w:r>
        <w:rPr>
          <w:sz w:val="19"/>
        </w:rPr>
        <w:t>Revised title: Urban Hub Coverage and Road Accessibility in Western Democratic Republic of the Congo: A Geospatial Analysis of Data and Model Sensitivity</w:t>
      </w:r>
    </w:p>
    <w:p>
      <w:pPr>
        <w:spacing w:after="40"/>
        <w:jc w:val="both"/>
      </w:pPr>
      <w:r>
        <w:rPr>
          <w:sz w:val="19"/>
        </w:rPr>
        <w:t>Author: PAMBOLO MAYAMBO Néhémie. Revision extended: 8 October 2026.</w:t>
      </w:r>
    </w:p>
    <w:p>
      <w:pPr>
        <w:spacing w:after="40"/>
        <w:jc w:val="both"/>
      </w:pPr>
      <w:r>
        <w:t>Dear Editor and Reviewers, thank you for identifying substantive gaps between the original framing and the implemented analysis. The manuscript has been rewritten as an exploratory analysis of existing-hub road coverage and model sensitivity. We have removed historical causal claims, unsupported travel-time estimates, and new-town recommendations; added complete gridded demand, an alternative population product, a directed mapped-road graph, exact optimization, and joint stress tests; and clarified the candidate-score and hydrological audits. We do not claim that all requests have been fulfilled. An external satellite-road input check is now completed; compatible validation of regional coverage remains unavailable. The new extension also compares 10/25-km greenfield screening grids and extreme tree rules with the October 2026 protected-area view, but does not establish forest integrity or constructability. We respectfully ask that the revision be assessed in light of this explicitly reduced scope. The latest follow-up adds mapped ferry geometry as a conditional structural test, twelve covering optimizations and data-derived criterion-weight comparisons.</w:t>
      </w:r>
    </w:p>
    <w:p>
      <w:pPr>
        <w:pStyle w:val="Heading1"/>
        <w:ind w:firstLine="0"/>
        <w:jc w:val="both"/>
      </w:pPr>
      <w:r>
        <w:t>1. Title, introduction, and the colonial-legacy claim</w:t>
      </w:r>
    </w:p>
    <w:p>
      <w:pPr>
        <w:spacing w:after="40"/>
        <w:jc w:val="both"/>
      </w:pPr>
      <w:r>
        <w:rPr>
          <w:sz w:val="19"/>
        </w:rPr>
        <w:t>Reviewer comment: The reviewer requested either removal of the colonial claim from the title or a quantitative historical comparison.</w:t>
      </w:r>
    </w:p>
    <w:p>
      <w:pPr>
        <w:spacing w:after="40"/>
        <w:jc w:val="both"/>
      </w:pPr>
      <w:r>
        <w:rPr>
          <w:sz w:val="19"/>
        </w:rPr>
        <w:t>Response: Addressed by removal and scope correction. The title now identifies existing-hub road coverage and sensitivity.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spacing w:after="40"/>
        <w:jc w:val="both"/>
      </w:pPr>
      <w:r>
        <w:rPr>
          <w:sz w:val="19"/>
        </w:rPr>
        <w:t>Location and evidence: Sections I, III.F, IV; revised title.</w:t>
      </w:r>
    </w:p>
    <w:p>
      <w:pPr>
        <w:pStyle w:val="Heading1"/>
        <w:ind w:firstLine="0"/>
        <w:jc w:val="both"/>
      </w:pPr>
      <w:r>
        <w:t>2. MST + three-neighbour topology and centrality</w:t>
      </w:r>
    </w:p>
    <w:p>
      <w:pPr>
        <w:spacing w:after="40"/>
        <w:jc w:val="both"/>
      </w:pPr>
      <w:r>
        <w:rPr>
          <w:sz w:val="19"/>
        </w:rPr>
        <w:t>Reviewer comment: The reviewer requested sensitivity to alternative graph topologies and distance thresholds, including Kenge and Bandundu.</w:t>
      </w:r>
    </w:p>
    <w:p>
      <w:pPr>
        <w:spacing w:after="40"/>
        <w:jc w:val="both"/>
      </w:pPr>
      <w:r>
        <w:rPr>
          <w:sz w:val="19"/>
        </w:rP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spacing w:after="40"/>
        <w:jc w:val="both"/>
      </w:pPr>
      <w:r>
        <w:rPr>
          <w:sz w:val="19"/>
        </w:rPr>
        <w:t>Location and evidence: Sections II.C, II.F, III.B, III.D; Fig. 3; Table VII; topology_node_metrics.csv and topology_summary.csv.</w:t>
      </w:r>
    </w:p>
    <w:p>
      <w:pPr>
        <w:pStyle w:val="Heading1"/>
        <w:ind w:firstLine="0"/>
        <w:jc w:val="both"/>
      </w:pPr>
      <w:r>
        <w:t>3. Sovereign hubs and functional polycentric planning</w:t>
      </w:r>
    </w:p>
    <w:p>
      <w:pPr>
        <w:spacing w:after="40"/>
        <w:jc w:val="both"/>
      </w:pPr>
      <w:r>
        <w:rPr>
          <w:sz w:val="19"/>
        </w:rPr>
        <w:t>Reviewer comment: The reviewer asked how selected nodes can act as sovereign hubs and break dependency on Kinshasa.</w:t>
      </w:r>
    </w:p>
    <w:p>
      <w:pPr>
        <w:spacing w:after="40"/>
        <w:jc w:val="both"/>
      </w:pPr>
      <w:r>
        <w:rPr>
          <w:sz w:val="19"/>
        </w:rPr>
        <w:t>Response: The empirical model does not measure economic autonomy, employment, productive specialization, energy reliability, or trade dependence. These claims have therefore been removed from the title and results. Section III.E explains why Yanganga and Ebale are not validated sovereign hubs, while III.F distinguishes selecting several facilities from functional polycentricity. The main revised objective concerns existing candidates and population coverage. No added sovereignty score is presented as measured evidence.</w:t>
      </w:r>
    </w:p>
    <w:p>
      <w:pPr>
        <w:spacing w:after="40"/>
        <w:jc w:val="both"/>
      </w:pPr>
      <w:r>
        <w:rPr>
          <w:sz w:val="19"/>
        </w:rPr>
        <w:t>Location and evidence: Sections I, II.D, III.E–F, IV.</w:t>
      </w:r>
    </w:p>
    <w:p>
      <w:pPr>
        <w:pStyle w:val="Heading1"/>
        <w:ind w:firstLine="0"/>
        <w:jc w:val="both"/>
      </w:pPr>
      <w:r>
        <w:t>4. Hydrological proxy specification</w:t>
      </w:r>
    </w:p>
    <w:p>
      <w:pPr>
        <w:spacing w:after="40"/>
        <w:jc w:val="both"/>
      </w:pPr>
      <w:r>
        <w:rPr>
          <w:sz w:val="19"/>
        </w:rPr>
        <w:t>Reviewer comment: The reviewer requested the formula or GIS procedure behind high/moderate exposure.</w:t>
      </w:r>
    </w:p>
    <w:p>
      <w:pPr>
        <w:spacing w:after="40"/>
        <w:jc w:val="both"/>
      </w:pPr>
      <w:r>
        <w:rPr>
          <w:sz w:val="19"/>
        </w:rP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spacing w:after="40"/>
        <w:jc w:val="both"/>
      </w:pPr>
      <w:r>
        <w:rPr>
          <w:sz w:val="19"/>
        </w:rPr>
        <w:t>Location and evidence: Section II.F; candidate_weight_audit_metadata.json; original environment script retained in the released package.</w:t>
      </w:r>
    </w:p>
    <w:p>
      <w:pPr>
        <w:pStyle w:val="Heading1"/>
        <w:ind w:firstLine="0"/>
        <w:jc w:val="both"/>
      </w:pPr>
      <w:r>
        <w:t>5. Empirical validation using secondary observations</w:t>
      </w:r>
    </w:p>
    <w:p>
      <w:pPr>
        <w:spacing w:after="40"/>
        <w:jc w:val="both"/>
      </w:pPr>
      <w:r>
        <w:rPr>
          <w:sz w:val="19"/>
        </w:rPr>
        <w:t>Reviewer comment: The reviewer requested validation against actual road, port, flight, field, or historical data.</w:t>
      </w:r>
    </w:p>
    <w:p>
      <w:pPr>
        <w:spacing w:after="40"/>
        <w:jc w:val="both"/>
      </w:pPr>
      <w:r>
        <w:t>Response: Partially addressed with executed external input and route checks, not validated regional population coverage. The satellite reference yields 20.93% length agreement within 100 m with tracks. We now also compare published 2018 Logistics Cluster road distances using the exact directed graph and both travel directions. Main-road Kinshasa–Matadi is 336.03 km versus 355 km published (−5.34%); Kinshasa–Bandundu is 922.62 km versus 490 km (+88.29%), and adding tracks still gives 879.89 km (+79.57%). Endpoint offsets below 0.014 km cannot explain the discrepancy. We report this unfavourable finding and withdraw any general validation claim. The catalogue’s Matadi–Bandundu value violates the triangle inequality with the other two symmetric entries; it is not fitted as a shortest-path calibration target. The benchmark has unspecified terminals/itineraries and an eight-year epoch difference. The JICA and AICD observations remain catalogued with their incompatible targets and limited independence. No GPS, household-access observation or interview is invented. Empirical validation of the regional covering outcome remains outstanding. A follow-up now retrieves three actual OSM ways for Bac Bandundu and adds them using exact shared coordinates, without synthetic gap links. The conditional main-road path falls to 398.99 km, compared with the geographically specified 405-km Mongata route in the Logistics Cluster April 2024 report. This supports a structural explanation of the detour, conditional on ferry usability; current operation and household access remain unvalidated (Sections II.K and III.K, Fig. 5).</w:t>
      </w:r>
    </w:p>
    <w:p>
      <w:pPr>
        <w:spacing w:after="40"/>
        <w:jc w:val="both"/>
      </w:pPr>
      <w:r>
        <w:rPr>
          <w:sz w:val="19"/>
        </w:rPr>
        <w:t>Location and evidence: Sections II.G, II.J, III.I–J, IV; Tables XIV–XV; references [33]–[37]; published_route_benchmark.csv and route_benchmark_metadata.json, plus the retained external road check outputs.</w:t>
      </w:r>
    </w:p>
    <w:p>
      <w:pPr>
        <w:pStyle w:val="Heading1"/>
        <w:ind w:firstLine="0"/>
        <w:jc w:val="both"/>
      </w:pPr>
      <w:r>
        <w:t>6. Joint uncertainty rather than weights alone</w:t>
      </w:r>
    </w:p>
    <w:p>
      <w:pPr>
        <w:spacing w:after="40"/>
        <w:jc w:val="both"/>
      </w:pPr>
      <w:r>
        <w:rPr>
          <w:sz w:val="19"/>
        </w:rPr>
        <w:t>Reviewer comment: The reviewer requested simultaneous uncertainty in population, OSM completeness, speeds, and coordinates.</w:t>
      </w:r>
    </w:p>
    <w:p>
      <w:pPr>
        <w:spacing w:after="40"/>
        <w:jc w:val="both"/>
      </w:pPr>
      <w: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 The extension adds 108 exact runs: an unperturbed baseline and five independent combined deletion/displacement realizations, both products, three hub counts, and 50/100/150-km coverage thresholds, at 5-km demand resolution. These tests remain uncalibrated scenario stresses, not confidence intervals. Section II.I now adds exact functional ANOVA of the complete categorical factorial design, using explicitly independent uniform mass on levels. Table XII reports first-order and total-effect indices; these are finite-design variance shares, not calibrated error probabilities. The extension adds province and detection-period comparisons plus 1,000 spatial-block resamples for each of two road sets and two block sizes. Track-inclusive agreement is 31.22% for 2019–2022 roads and 10.19% for 2023–2025. The 25-km resampling range is 12.81–30.95%, changing to 12.06–32.26% at 50 km. These are conditional reference-road ranges, not calibrated total-error or hub-coverage confidence intervals. No new covering optimization is counted. Section II.J and Table XVI explain the remaining sources of uncalibrated error. Twelve further exact optimizations test this specific ferry addition across both products, both road-class sets and p = 5/10/15, retaining one-kilometre demand and the 100-km threshold. Coverage is unchanged for p = 5 and 10 and rises by 0.049–0.079 percentage points for p = 15. This is a targeted mode-availability diagnostic, not a calibrated stochastic completeness distribution.</w:t>
      </w:r>
    </w:p>
    <w:p>
      <w:pPr>
        <w:spacing w:after="40"/>
        <w:jc w:val="both"/>
      </w:pPr>
      <w:r>
        <w:rPr>
          <w:sz w:val="19"/>
        </w:rPr>
        <w:t>Location and evidence: Section II.E; Tables II and VI; joint_maximal_coverage_results.csv and joint_coverage_metadata.json.</w:t>
      </w:r>
    </w:p>
    <w:p>
      <w:pPr>
        <w:pStyle w:val="Heading1"/>
        <w:ind w:firstLine="0"/>
        <w:jc w:val="both"/>
      </w:pPr>
      <w:r>
        <w:t>7. Justification of multicriteria weights</w:t>
      </w:r>
    </w:p>
    <w:p>
      <w:pPr>
        <w:spacing w:after="40"/>
        <w:jc w:val="both"/>
      </w:pPr>
      <w:r>
        <w:rPr>
          <w:sz w:val="19"/>
        </w:rPr>
        <w:t>Reviewer comment: The reviewer requested empirical justification or expert elicitation for the criterion weights.</w:t>
      </w:r>
    </w:p>
    <w:p>
      <w:pPr>
        <w:spacing w:after="40"/>
        <w:jc w:val="both"/>
      </w:pPr>
      <w: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 A six-criterion 100-point elicitation form, face-to-face consultation guide and executable response-analysis script are supplied. Actual responses remain absent. The script produces no expert weight or ranking from an empty form; with genuine responses it reports panel dispersion, mean/median aggregation, ties and leave-one-out sensitivity. The six-criterion form applies only to the supplementary grid screen, not the old seven-variable slope audit or the principal unweighted covering objective. This preparation does not fulfil expert elicitation itself. We have additionally executed a CRITIC-style dispersion/correlation weighting of the six admitted grid-score columns, separately at 10 and 25 km. Equations and scale conventions are explicit. At 10 km, seven of ten provincial top centres change versus the assumed weights; at 25 km four of nine change. Table XVIII reports the derived vectors. This provides a transparent matrix-derived comparator, not retrospective expert support for the original vector. Expert elicitation remains unperformed.</w:t>
      </w:r>
    </w:p>
    <w:p>
      <w:pPr>
        <w:spacing w:after="40"/>
        <w:jc w:val="both"/>
      </w:pPr>
      <w:r>
        <w:rPr>
          <w:sz w:val="19"/>
        </w:rPr>
        <w:t>Location and evidence: Sections II.F and III.E; Table VIII; candidate_reference_uniform_weights.csv.</w:t>
      </w:r>
    </w:p>
    <w:p>
      <w:pPr>
        <w:pStyle w:val="Heading1"/>
        <w:ind w:firstLine="0"/>
        <w:jc w:val="both"/>
      </w:pPr>
      <w:r>
        <w:t>8. Population alternatives, road completeness, thresholds, grid resolution, forest definition, and Sobol analysis</w:t>
      </w:r>
    </w:p>
    <w:p>
      <w:pPr>
        <w:spacing w:after="40"/>
        <w:jc w:val="both"/>
      </w:pPr>
      <w:r>
        <w:rPr>
          <w:sz w:val="19"/>
        </w:rPr>
        <w:t>Reviewer comment: The reviewer specified WorldPop versus alternatives, segment perturbations, thresholds 15/25/40/100 km, grid resolution, forest definition, and possible Sobol decomposition.</w:t>
      </w:r>
    </w:p>
    <w:p>
      <w:pPr>
        <w:spacing w:after="40"/>
        <w:jc w:val="both"/>
      </w:pPr>
      <w:r>
        <w:rPr>
          <w:sz w:val="19"/>
        </w:rPr>
        <w:t>Response: The population alternatives and radius topology tests are completed as previously described. The extension now also compares complete 10- and 25-km candidate screens on a shared boundary mask with a common zero origin and recomputed complete-grid population potential. Native WorldCover samples compare strict tree exclusion with an extreme tree-admitted diagnostic. The official WDPCA protected-area view for October 2026 is applied with centre and full-cell intersection rules. The two grids yield 6,519 and 1,047 access/remoteness-eligible centres, with 1,298 and 268 full-cell protected-polygon intersections before land-cover screening. These calculations address the previously missing grid and hard-forest-rule sensitivity. They do not distinguish primary from degraded forest, certify tenure or flood safety, or calibrate a continuous uncertainty distribution. Section II.I now supplies exact categorical functional ANOVA for all six factorial inputs. For p = 10, the population-product first-order share is 86.07%, with 2.81% assigned to interactions. This finite-design result is not a Monte Carlo Sobol estimate. The strict full-cell screen retains 1,583 ten-kilometre candidates and 241 twenty-five-kilometre candidates. Équateur has no retained candidate on the latter grid. Among nine common provinces, the median top-centre shift is 212.22 km under reference weights and 52.02 km under uniform weights, demonstrating substantial grid sensitivity. Road additions and calibrated uncertainty distributions remain untested.</w:t>
      </w:r>
    </w:p>
    <w:p>
      <w:pPr>
        <w:spacing w:after="40"/>
        <w:jc w:val="both"/>
      </w:pPr>
      <w:r>
        <w:rPr>
          <w:sz w:val="19"/>
        </w:rPr>
        <w:t>Location and evidence: Sections II.B, II.E–F, III.E–F; Table II; full supplementary run tables. Grid and hard-tree-rule comparisons are now computed; forest-integrity and field validation remain unperformed. Extension: Sections II.H and III.G, Tables IX–XI.</w:t>
      </w:r>
    </w:p>
    <w:p>
      <w:pPr>
        <w:pStyle w:val="Heading1"/>
        <w:ind w:firstLine="0"/>
        <w:jc w:val="both"/>
      </w:pPr>
      <w:r>
        <w:t>9. Complete population demand, standard urban definitions, and falsifiable elbow</w:t>
      </w:r>
    </w:p>
    <w:p>
      <w:pPr>
        <w:spacing w:after="40"/>
        <w:jc w:val="both"/>
      </w:pPr>
      <w:r>
        <w:rPr>
          <w:sz w:val="19"/>
        </w:rPr>
        <w:t>Reviewer comment: The reviewer requested population cells or the full locality set, standard urban definitions, and a falsifiable hypothesis.</w:t>
      </w:r>
    </w:p>
    <w:p>
      <w:pPr>
        <w:spacing w:after="40"/>
        <w:jc w:val="both"/>
      </w:pPr>
      <w:r>
        <w:rPr>
          <w:sz w:val="19"/>
        </w:rPr>
        <w:t>Response: The principal model now includes every positive selected population cell: 219,279 WorldPop one-kilometre cells (24,553 five-kilometre cells) and 147,956 GHS-POP one-kilometre cells (21,120 five-kilometre cells). Rural and disconnected demand remain in the denominator. Section II.I now replaces point-only interpretation with four-connected polygons from native GHS-SMOD codes 30, 23, and 22, labelled separately across the country mask before study-region selection. It identifies 47, 182, and 139 morphological components. Aligned native GHS-POP cells determine component population; 25/26 hub points lie in a component. Eight-connectivity is checked explicitly. These footprints are derived morphological components, not official UCDB identifiers or functional urban areas (Section III.H, Table XIII).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spacing w:after="40"/>
        <w:jc w:val="both"/>
      </w:pPr>
      <w:r>
        <w:rPr>
          <w:sz w:val="19"/>
        </w:rPr>
        <w:t>Location and evidence: Sections II.B, II.D, II.F, III.A, III.C–D; Tables III, V; Figs. 2, 4; elbow_rule_check.json.</w:t>
      </w:r>
    </w:p>
    <w:p>
      <w:pPr>
        <w:pStyle w:val="Heading1"/>
        <w:ind w:firstLine="0"/>
        <w:jc w:val="both"/>
      </w:pPr>
      <w:r>
        <w:t>Reproducibility and release status</w:t>
      </w:r>
    </w:p>
    <w:p>
      <w:pPr>
        <w:spacing w:after="40"/>
        <w:jc w:val="both"/>
      </w:pPr>
      <w:r>
        <w:rPr>
          <w:sz w:val="19"/>
        </w:rPr>
        <w:t>The accompanying revision package contains the new Python scripts, verified derived tables, metadata, and figures. The existing Zenodo v1.0.0 archive (10.5281/zenodo.22287394) predates the revision and must not be represented as containing these new analyses. The original archive is retained unchanged. A new repository release and corresponding archive are needed to freeze the revised analysis publicly. The author should confirm the final release citation after depositing the supplied revision package.</w:t>
      </w:r>
    </w:p>
    <w:p>
      <w:pPr>
        <w:pStyle w:val="Heading1"/>
        <w:ind w:firstLine="0"/>
        <w:jc w:val="both"/>
      </w:pPr>
      <w:r>
        <w:t>Summary of remaining substantive limitations</w:t>
      </w:r>
    </w:p>
    <w:p>
      <w:pPr>
        <w:spacing w:after="40"/>
        <w:jc w:val="both"/>
      </w:pPr>
      <w:r>
        <w:t>External road and published-route checks have been executed. The conditional ferry scenario explains a major structural component of the Kinshasa–Bandundu detour; current usability remains unverified. Spatial-block resampling strengthens characterization of the satellite reference but does not calibrate a joint model-error distribution. Compatible regional access observations and actual expert responses remain absent. Functional sovereignty, seasonal operations, forest integrity, tenure and constructability are not validated. The 100-km threshold is assumed. These outstanding requirements are substantive and the revision does not assert that all reviewer requests are satisfied.</w:t>
      </w:r>
    </w:p>
    <w:p>
      <w:pPr>
        <w:pStyle w:val="Heading1"/>
        <w:ind w:firstLine="0"/>
        <w:jc w:val="both"/>
      </w:pPr>
      <w:r>
        <w:t>Additional evidence supplied on 7 October 2026</w:t>
      </w:r>
    </w:p>
    <w:p>
      <w:pPr>
        <w:spacing w:after="40"/>
        <w:jc w:val="both"/>
      </w:pPr>
      <w:r>
        <w:rPr>
          <w:sz w:val="19"/>
        </w:rPr>
        <w:t>New manuscript Section II.H specifies repeated stresses, candidate-grid alignment, the complete-grid population potential, WorldCover sampling, and the current protected-area query. Section III.G and Tables IX–XI report the corresponding results. The new CSV/JSON files include repeated_joint_stress, candidate_grid_environment, candidate_grid_protection_counts, and jica_observed_screenline_benchmark. Raw WDPCA data are withheld from redistribution under producer terms. Their producer query and release are documented for lawful reacquisition.</w:t>
      </w:r>
    </w:p>
    <w:p>
      <w:pPr>
        <w:spacing w:after="40"/>
        <w:jc w:val="both"/>
      </w:pPr>
      <w:r>
        <w:t>The outstanding requirements are compatible empirical validation of population accessibility, current verification of ferry and road operations, empirically defensible error distributions, and actual expert responses if policy preference weights are retained. The supplied conditional ferry and CRITIC-style tests strengthen structural and weighting diagnostics, but do not replace these observations. We respectfully seek evaluation of the narrower exploratory study without claiming that all requests are fulfilled.</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