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color w:val="000000"/>
          <w:sz w:val="32"/>
        </w:rPr>
        <w:t>Questionnaire de pondération pour le diagnostic territorial</w:t>
      </w:r>
    </w:p>
    <w:p>
      <w:pPr>
        <w:jc w:val="left"/>
      </w:pPr>
      <w:r>
        <w:t>Étude de PAMBOLO MAYAMBO Néhémie — Université de Kinshasa. Ce formulaire prépare une consultation volontaire sur les critères d’un diagnostic territorial. Il ne constitue pas une consultation déjà réalisée. Les réponses servent à comparer des préférences professionnelles ; elles ne certifient pas la faisabilité d’un site.</w:t>
      </w:r>
    </w:p>
    <w:p>
      <w:pPr>
        <w:pStyle w:val="Heading1"/>
        <w:ind w:firstLine="0"/>
        <w:jc w:val="left"/>
      </w:pPr>
      <w:r>
        <w:t>1 Consentement et profil</w:t>
      </w:r>
    </w:p>
    <w:p>
      <w:pPr>
        <w:jc w:val="left"/>
      </w:pPr>
      <w:r>
        <w:t>Je souhaite participer volontairement et j’accepte l’utilisation agrégée de mes réponses pour cette étude : Oui □  Non □. Aucun nom n’est nécessaire dans le jeu d’analyse. Code attribué par le chercheur : __________. Date : __________.</w:t>
      </w:r>
    </w:p>
    <w:p>
      <w:pPr>
        <w:jc w:val="left"/>
      </w:pPr>
      <w:r>
        <w:t>Domaine principal : aménagement □  transport □  environnement □  géomatique □  économie territoriale □  administration locale □  autre : __________. Années d’expérience : _____. Connaissance du système Grand Bandundu–Grand Équateur–Kinshasa–Kongo Central : faible □  moyenne □  forte □.</w:t>
      </w:r>
    </w:p>
    <w:p>
      <w:pPr>
        <w:pStyle w:val="Heading1"/>
        <w:ind w:firstLine="0"/>
        <w:jc w:val="left"/>
      </w:pPr>
      <w:r>
        <w:t>2 Répartition de 100 points</w:t>
      </w:r>
    </w:p>
    <w:p>
      <w:pPr>
        <w:jc w:val="left"/>
      </w:pPr>
      <w:r>
        <w:t>Attribuez au total 100 points aux six critères ci-dessous. Davantage de points signifie davantage d’importance pour une présélection territoriale. Cette présélection précède les études foncières, hydrologiques et environnementales. Ne copiez pas une pondération proposée par le chercheur : indiquez votre préférence.</w:t>
      </w:r>
    </w:p>
    <w:p>
      <w:pPr>
        <w:jc w:val="left"/>
      </w:pPr>
      <w:r>
        <w:t>Population accessible : ____ points. Potentiel démographique autour du candidat, calculé sur une grille de population.</w:t>
      </w:r>
    </w:p>
    <w:p>
      <w:pPr>
        <w:jc w:val="left"/>
      </w:pPr>
      <w:r>
        <w:t>Proximité routière : ____ points. Proximité de routes cartographiées, sans garantie de praticabilité.</w:t>
      </w:r>
    </w:p>
    <w:p>
      <w:pPr>
        <w:jc w:val="left"/>
      </w:pPr>
      <w:r>
        <w:t>Proximité des voies d’eau : ____ points. Proximité de cours d’eau cartographiés, sans garantie de navigabilité.</w:t>
      </w:r>
    </w:p>
    <w:p>
      <w:pPr>
        <w:jc w:val="left"/>
      </w:pPr>
      <w:r>
        <w:t>Proximité ferroviaire : ____ points. Proximité de lignes cartographiées, sans garantie de fonctionnement.</w:t>
      </w:r>
    </w:p>
    <w:p>
      <w:pPr>
        <w:jc w:val="left"/>
      </w:pPr>
      <w:r>
        <w:t>Proximité d’aérodrome : ____ points. Proximité d’un aérodrome cartographié, sans garantie de desserte.</w:t>
      </w:r>
    </w:p>
    <w:p>
      <w:pPr>
        <w:jc w:val="left"/>
      </w:pPr>
      <w:r>
        <w:t>Éloignement des pôles existants : ____ points. Possibilité de desservir des espaces éloignés des pôles retenus.</w:t>
      </w:r>
    </w:p>
    <w:p>
      <w:pPr>
        <w:jc w:val="left"/>
      </w:pPr>
      <w:r>
        <w:t>TOTAL : ____ points (doit être égal à 100).</w:t>
      </w:r>
    </w:p>
    <w:p>
      <w:pPr>
        <w:pStyle w:val="Heading1"/>
        <w:pageBreakBefore/>
        <w:ind w:firstLine="0"/>
        <w:jc w:val="left"/>
      </w:pPr>
      <w:r>
        <w:t>3 Justification et critères absents</w:t>
      </w:r>
    </w:p>
    <w:p>
      <w:pPr>
        <w:jc w:val="left"/>
      </w:pPr>
      <w:r>
        <w:t>Pourquoi avez-vous attribué les deux poids les plus élevés ?</w:t>
        <w:br/>
        <w:t>________________________________________________________________</w:t>
        <w:br/>
        <w:t>________________________________________________________________</w:t>
        <w:br/>
        <w:t>________________________________________________________________</w:t>
        <w:br/>
        <w:t>________________________________________________________________</w:t>
      </w:r>
    </w:p>
    <w:p>
      <w:pPr>
        <w:jc w:val="left"/>
      </w:pPr>
      <w:r>
        <w:t>Quels critères importants manquent au diagnostic ?</w:t>
        <w:br/>
        <w:t>________________________________________________________________</w:t>
        <w:br/>
        <w:t>________________________________________________________________</w:t>
        <w:br/>
        <w:t>________________________________________________________________</w:t>
        <w:br/>
        <w:t>________________________________________________________________</w:t>
      </w:r>
    </w:p>
    <w:p>
      <w:pPr>
        <w:jc w:val="left"/>
      </w:pPr>
      <w:r>
        <w:t>Quelles données locales pourraient vérifier ou corriger ces critères ? Indiquez l’institution ou le document, sans transmettre de données personnelles.</w:t>
        <w:br/>
        <w:t>________________________________________________________________</w:t>
        <w:br/>
        <w:t>________________________________________________________________</w:t>
        <w:br/>
        <w:t>________________________________________________________________</w:t>
        <w:br/>
        <w:t>________________________________________________________________</w:t>
      </w:r>
    </w:p>
    <w:p>
      <w:pPr>
        <w:pStyle w:val="Heading1"/>
        <w:ind w:firstLine="0"/>
        <w:jc w:val="left"/>
      </w:pPr>
      <w:r>
        <w:t>4 Protocole du chercheur après collecte</w:t>
      </w:r>
    </w:p>
    <w:p>
      <w:pPr>
        <w:jc w:val="left"/>
      </w:pPr>
      <w:r>
        <w:t>Documenter le nombre de participants, leurs profils et le recrutement réellement effectué. Rejeter ou faire corriger les totaux différents de 100. Conserver les réponses brutes anonymisées, puis calculer la moyenne, la médiane et la dispersion de chaque poids. Comparer les classements avec les pondérations individuelles, les poids uniformes et les poids de référence. Signaler la taille et les limites de l’échantillon ; ne pas revendiquer un consensus national. Respecter les exigences institutionnelles applicables à la consultation. Aucun effectif ni avis d’expert ne doit être inventé.</w:t>
      </w:r>
    </w:p>
    <w:sectPr w:rsidR="00FC693F" w:rsidRPr="0006063C" w:rsidSect="00034616">
      <w:headerReference w:type="default" r:id="rId9"/>
      <w:footerReference w:type="default" r:id="rId10"/>
      <w:pgSz w:w="11906" w:h="16838"/>
      <w:pgMar w:top="1077" w:right="1247" w:bottom="158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