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sz w:val="36"/>
        </w:rPr>
        <w:t>Urban Hub Coverage and Road Accessibility in Western Democratic Republic of the Congo: A Geospatial Analysis of Data and Model Sensitivity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Abstract—Regional accessibility estimates can be strongly influenced by population models and assumed network connectivity. This study examines these effects across ten interconnected provinces in western and north-western Democratic Republic of the Congo. It combines WorldPop 2025, GHS-POP 2025, GHS-SMOD settlement classifications, administrative boundaries, and an OpenStreetMap road extract dated 5 October 2026. Population counts are aggregated to mass-conserving one- and five-kilometre equal-area grids. A directed graph preserves mapped road geometry and disconnection, while a maximal covering model selects among 26 existing hubs. The analysis also includes 288 factorial optimizations and 108 repeated-stress and threshold runs, together with a 10/25-kilometre candidate-grid comparison using current protected-area masks. Under the common regional mask, WorldPop estimates 43.30 million inhabitants and GHS-POP 34.03 million, a difference of 21.40%. With one-kilometre demand cells, the baseline road classes, and assumed connectors of at most five kilometres, ten selected hubs cover 50.97% of WorldPop population within a 100-kilometre distance threshold, compared with 62.70% using GHS-POP. Across the joint scenarios, ten-hub coverage ranges from 40.40% to 63.35%; this envelope is not a confidence interval. The synthetic-graph audit reveals centrality rank changes and does not support a predefined p-median elbow criterion. These results demonstrate sensitivity of modelled coverage, rather than observed travel behaviour, historical causality, or the feasibility of new towns. No compatible regional flow or field dataset was available for empirical validation; operational multimodal and planning recommendations therefore remain conditional.</w:t>
      </w:r>
    </w:p>
    <w:p>
      <w:pPr>
        <w:ind w:firstLine="0"/>
        <w:jc w:val="both"/>
      </w:pPr>
      <w:r>
        <w:t>Keywords—road accessibility; maximal covering location; gridded population; network topology; sensitivity analysis;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objective is to measure how population representation and mapped road connectivity alter the coverage attainable by a limited set of existing hubs. The analysis does not assume that every mapped road is usable or that every waterway is navigable. It also does not infer that improving a mathematical coverage objective creates employment, economic autonomy, or an equitable allocation of public investment.</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is a reproducible comparison of two gridded population products, two demand resolutions, and several road and attachment assumptions, together with an audit of the earlier model. Regional masks, graph construction rules, and computational optimality are distinguished from external validity. The main research question is: how sensitive is the modelled population coverage of existing hubs to population inputs, spatial aggregation, mapped roads, off-network attachment, and controlled perturbations?</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remains a motivation for asking regional questions, but no colonial-era network is digitized or compared with the current data here. The revised title therefore omits historical causal and sovereignty claims. Planning interpretation is restricted to identifying assumptions and areas requiring investigation. This narrower framing also allows the principal analytical findings to be evaluated independently of a political description of the desired territorial future.</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existing candidate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No new-city location is optimized in the main revised model.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Full connected-component agglomeration areas are not estimated in this study.</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transparent scenario exploration from global variance-based attribution [25]–[28]. This factorial design is not a Sobol decomposition and no Sobol indices are reported. It addresses the earlier weight-only experiment by introducing population, aggregation, geometry, and topology stresses. It cannot establish that all relevant uncertainty sources have been exhausted. Baseline comparisons hold road classes, grid resolution, connectors, and perturbations constant while changing the population product.</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[33].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while the proposed sites cease to be planning recommendations.</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some observed mobility evidence exists locally [32]. Its spatial and temporal scope must be respected. The defensible next validation would define a measurable target, identify corresponding road geometry and survey dates, and compare modelled urban distances or travel times with digitized route observations. Regional hub coverage would require representative service access or OD evidence across the study system. Until such a matched test is executed, the present article remains an exploratory geospatial sensitivity study. The absence of that empirical test is a substantive limitation, not a minor editorial detail.</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1"/>
        <w:ind w:firstLine="0"/>
        <w:jc w:val="both"/>
      </w:pPr>
      <w:r>
        <w:t>IV. CONCLUSION</w:t>
      </w:r>
    </w:p>
    <w:p>
      <w:pPr>
        <w:jc w:val="both"/>
      </w:pPr>
      <w:r>
        <w:t>Replacing selected-node demand with complete gridded population and preserving mapped road disconnection materially changes the scope of the accessibility question. Across the same ten-province mask, WorldPop and GHS-POP differ by 21.40% in total population. Baseline ten-hub coverage within 100 km is 50.97% versus 62.70%; the joint scenario envelope spans 40.40–63.35%. These calculated differences show that population and network assumptions must accompany any reported hub result.</w:t>
      </w:r>
    </w:p>
    <w:p>
      <w:pPr>
        <w:jc w:val="both"/>
      </w:pPr>
      <w:r>
        <w:t>The audits also change the interpretation of the previous application: Kenge and Bandundu centrality ranks are topology-sensitive, the specified p-median elbow is not supported, and Yanganga’s perfect selection frequency follows from a single candidate in its province. Exact solver results establish optimality only within the encoded models. An additional 108 optimization runs, alternative grid screens, and an October 2026 protected-area mask strengthen sensitivity analysis. No compatible empirical regional flow or field validation has been completed, and no historical cause, sovereign economic function, or feasible new-town site is demonstrated. The contribution is therefore a reproducible analysis of model sensitivity, with operational planning claims reserved for subsequent matched validation.</w:t>
      </w:r>
    </w:p>
    <w:p>
      <w:pPr>
        <w:pStyle w:val="Heading1"/>
        <w:ind w:firstLine="0"/>
        <w:jc w:val="both"/>
      </w:pPr>
      <w:r>
        <w:t>DATA AND AUTHOR STATEMENTS</w:t>
      </w:r>
    </w:p>
    <w:p>
      <w:pPr>
        <w:jc w:val="both"/>
      </w:pPr>
      <w:r>
        <w:t>The revision replication package supplies scripts, derived result tables, parameter definitions, source URLs, checksums, and figure-generation instructions. The original v1.0.0 archive remains at https://doi.org/10.5281/zenodo.22287394; it does not contain the new revision analyses. The repository is https://github.com/Nehemy29/rdc-urban-hubs-spatial-optimization. Revision files are provided separately with this resubmission material and require a new public version to be archived as the revised release. Third-party raw datasets are not redistributed in the revision package; producer terms and attribution are documented.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60"/>
        <w:ind w:firstLine="0"/>
        <w:jc w:val="both"/>
      </w:pPr>
      <w:r>
        <w:rPr>
          <w:rFonts w:ascii="Times New Roman" w:hAnsi="Times New Roman"/>
          <w:sz w:val="16"/>
        </w:rPr>
        <w:t>[1] J.-P. Rodrigue, The Geography of Transport Systems, 5th ed. Routledge, 2020.</w:t>
      </w:r>
    </w:p>
    <w:p>
      <w:pPr>
        <w:spacing w:after="60"/>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60"/>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60"/>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60"/>
        <w:ind w:firstLine="0"/>
        <w:jc w:val="both"/>
      </w:pPr>
      <w:r>
        <w:rPr>
          <w:rFonts w:ascii="Times New Roman" w:hAnsi="Times New Roman"/>
          <w:sz w:val="16"/>
        </w:rPr>
        <w:t>[5] C. S. ReVelle and R. W. Swain, “Central facilities location,” Geographical Analysis, vol. 2, no. 1, pp. 30–42, 1970.</w:t>
      </w:r>
    </w:p>
    <w:p>
      <w:pPr>
        <w:spacing w:after="60"/>
        <w:ind w:firstLine="0"/>
        <w:jc w:val="both"/>
      </w:pPr>
      <w:r>
        <w:rPr>
          <w:rFonts w:ascii="Times New Roman" w:hAnsi="Times New Roman"/>
          <w:sz w:val="16"/>
        </w:rPr>
        <w:t>[6] R. Church and C. ReVelle, “The maximal covering location problem,” Papers of the Regional Science Association, vol. 32, pp. 101–118, 1974.</w:t>
      </w:r>
    </w:p>
    <w:p>
      <w:pPr>
        <w:spacing w:after="60"/>
        <w:ind w:firstLine="0"/>
        <w:jc w:val="both"/>
      </w:pPr>
      <w:r>
        <w:rPr>
          <w:rFonts w:ascii="Times New Roman" w:hAnsi="Times New Roman"/>
          <w:sz w:val="16"/>
        </w:rPr>
        <w:t>[7] E. W. Dijkstra, “A note on two problems in connexion with graphs,” Numerische Mathematik, vol. 1, pp. 269–271, 1959.</w:t>
      </w:r>
    </w:p>
    <w:p>
      <w:pPr>
        <w:spacing w:after="60"/>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60"/>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60"/>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60"/>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60"/>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60"/>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60"/>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60"/>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60"/>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60"/>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60"/>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60"/>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60"/>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60"/>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60"/>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60"/>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60"/>
        <w:ind w:firstLine="0"/>
        <w:jc w:val="both"/>
      </w:pPr>
      <w:r>
        <w:rPr>
          <w:rFonts w:ascii="Times New Roman" w:hAnsi="Times New Roman"/>
          <w:sz w:val="16"/>
        </w:rPr>
        <w:t>[24] D. Zanaga et al., “ESA WorldCover 10 m 2021 v200,” dataset, 2022, doi: 10.5281/zenodo.7254221.</w:t>
      </w:r>
    </w:p>
    <w:p>
      <w:pPr>
        <w:spacing w:after="60"/>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60"/>
        <w:ind w:firstLine="0"/>
        <w:jc w:val="both"/>
      </w:pPr>
      <w:r>
        <w:rPr>
          <w:rFonts w:ascii="Times New Roman" w:hAnsi="Times New Roman"/>
          <w:sz w:val="16"/>
        </w:rPr>
        <w:t>[26] A. Saltelli et al., “Five ways to ensure that models serve society: A manifesto,” Nature, vol. 582, pp. 482–484, 2020, doi: 10.1038/d41586-020-01812-9.</w:t>
      </w:r>
    </w:p>
    <w:p>
      <w:pPr>
        <w:spacing w:after="60"/>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60"/>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60"/>
        <w:ind w:firstLine="0"/>
        <w:jc w:val="both"/>
      </w:pPr>
      <w:r>
        <w:rPr>
          <w:rFonts w:ascii="Times New Roman" w:hAnsi="Times New Roman"/>
          <w:sz w:val="16"/>
        </w:rPr>
        <w:t>[29] C. R. Harris et al., “Array programming with NumPy,” Nature, vol. 585, pp. 357–362, 2020, doi: 10.1038/s41586-020-2649-2.</w:t>
      </w:r>
    </w:p>
    <w:p>
      <w:pPr>
        <w:spacing w:after="60"/>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60"/>
        <w:ind w:firstLine="0"/>
        <w:jc w:val="both"/>
      </w:pPr>
      <w:r>
        <w:rPr>
          <w:rFonts w:ascii="Times New Roman" w:hAnsi="Times New Roman"/>
          <w:sz w:val="16"/>
        </w:rPr>
        <w:t>[31] UN-Habitat, World Cities Report 2022: Envisaging the Future of Cities. Nairobi, Kenya, 2022.</w:t>
      </w:r>
    </w:p>
    <w:p>
      <w:pPr>
        <w:spacing w:after="60"/>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pPr>
        <w:ind w:firstLine="0"/>
        <w:jc w:val="both"/>
      </w:pPr>
      <w:r>
        <w:rPr>
          <w:rFonts w:ascii="Times New Roman" w:hAnsi="Times New Roman"/>
          <w:sz w:val="16"/>
        </w:rPr>
        <w:t>[33] UNEP-WCMC and IUCN, “Protected Planet: The World Database on Protected and Conserved Areas (WDPCA), protected-area view,” Oct. 2026. [Online]. Available: https://www.protectedplanet.net/ and https://data-gis.unep-wcmc.org/server/rest/services/ProtectedSites/The_World_Database_of_Protected_Areas/FeatureServer. Accessed: 7 Oct. 2026.</w:t>
      </w:r>
    </w:p>
    <w:p>
      <w:pPr>
        <w:sectPr>
          <w:type w:val="continuous"/>
          <w:pgSz w:w="11906" w:h="16838"/>
          <w:pgMar w:top="1077" w:right="812" w:bottom="1587" w:left="812" w:header="720" w:footer="720" w:gutter="0"/>
          <w:cols w:space="482" w:num="2" w:equalWidth="1"/>
          <w:docGrid w:linePitch="360"/>
        </w:sectPr>
      </w:pP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