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ind w:firstLine="0"/>
        <w:jc w:val="both"/>
      </w:pPr>
      <w:r>
        <w:t>Response to Reviewers — Submission 6222</w:t>
      </w:r>
    </w:p>
    <w:p>
      <w:pPr>
        <w:spacing w:after="40"/>
        <w:jc w:val="both"/>
      </w:pPr>
      <w:r>
        <w:rPr>
          <w:sz w:val="19"/>
        </w:rPr>
        <w:t>Original title: From Colonial Spatial Structures to Sovereign Spatial Planning: Multimodal Network Modelling and Optimal Location of New Urban Hubs in the Democratic Republic of the Congo Using Spatial Data Science.</w:t>
      </w:r>
    </w:p>
    <w:p>
      <w:pPr>
        <w:spacing w:after="40"/>
        <w:jc w:val="both"/>
      </w:pPr>
      <w:r>
        <w:t>Revised title: Planning New Urban Hubs in Western Democratic Republic of the Congo through Conditional Location Optimization and an Assessment Framework for Functional Autonomy</w:t>
      </w:r>
    </w:p>
    <w:p>
      <w:pPr>
        <w:spacing w:after="40"/>
        <w:jc w:val="both"/>
      </w:pPr>
      <w:r>
        <w:t>Author: PAMBOLO MAYAMBO Néhémie. Consolidated revision: 12 October 2026.</w:t>
      </w:r>
    </w:p>
    <w:p>
      <w:pPr>
        <w:spacing w:after="40"/>
        <w:jc w:val="both"/>
      </w:pPr>
      <w:r>
        <w:t>Dear Editor and Reviewers, thank you for identifying gaps between the initial planning ambition and its evidence. The revision now includes a conditional new-urban-hub location module alongside the baseline accessibility audits. All 26 existing hubs are fixed, and screened new centres are optimized by additional modelled population coverage. Twenty-four executed runs compare two candidate grids, two population products, road classes and an optional water-proximity constraint. Functional autonomy is specified as an assessment framework, not a measured sovereignty score. The main objective uses no unelicited preference vector or invented expert response. Historical causal claims and construction endorsements remain withdrawn. We do not assert that all requirements are fulfilled: matched empirical household-access validation, current operational verification and functional feasibility remain outstanding. Historical electricity infrastructure and published national enterprise observations are now integrated into the manuscript and the consolidated package, with their epoch and scale limitations explicit.</w:t>
      </w:r>
    </w:p>
    <w:p>
      <w:pPr>
        <w:pStyle w:val="Heading1"/>
        <w:keepNext/>
        <w:ind w:firstLine="0"/>
        <w:jc w:val="both"/>
      </w:pPr>
      <w:r>
        <w:t>1. Title, introduction, and the colonial-legacy claim</w:t>
      </w:r>
    </w:p>
    <w:p>
      <w:pPr>
        <w:spacing w:after="40"/>
        <w:jc w:val="both"/>
      </w:pPr>
      <w:r>
        <w:rPr>
          <w:sz w:val="19"/>
        </w:rPr>
        <w:t>Reviewer comment: The reviewer requested either removal of the colonial claim from the title or a quantitative historical comparison.</w:t>
      </w:r>
    </w:p>
    <w:p>
      <w:pPr>
        <w:spacing w:after="40"/>
        <w:jc w:val="both"/>
      </w:pPr>
      <w:r>
        <w:t>Response: Addressed by removal and scope correction. The title now identifies conditional new-hub location optimization and a functional-autonomy assessment framework.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spacing w:after="40"/>
        <w:jc w:val="both"/>
      </w:pPr>
      <w:r>
        <w:t>Location and evidence: Sections I, III.F and IV; revised title.</w:t>
      </w:r>
    </w:p>
    <w:p>
      <w:pPr>
        <w:pStyle w:val="Heading1"/>
        <w:keepNext/>
        <w:ind w:firstLine="0"/>
        <w:jc w:val="both"/>
      </w:pPr>
      <w:r>
        <w:t>2. MST + three-neighbour topology and centrality</w:t>
      </w:r>
    </w:p>
    <w:p>
      <w:pPr>
        <w:spacing w:after="40"/>
        <w:jc w:val="both"/>
      </w:pPr>
      <w:r>
        <w:rPr>
          <w:sz w:val="19"/>
        </w:rPr>
        <w:t>Reviewer comment: The reviewer requested sensitivity to alternative graph topologies and distance thresholds, including Kenge and Bandundu.</w:t>
      </w:r>
    </w:p>
    <w:p>
      <w:pPr>
        <w:spacing w:after="40"/>
        <w:jc w:val="both"/>
      </w:pPr>
      <w:r>
        <w:rPr>
          <w:sz w:val="19"/>
        </w:rP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spacing w:after="40"/>
        <w:jc w:val="both"/>
      </w:pPr>
      <w:r>
        <w:t>Location and evidence: Sections II.C and II.F, III.B and III.D; Fig. 3; Table VII; topology_node_metrics.csv and topology_summary.csv.</w:t>
      </w:r>
    </w:p>
    <w:p>
      <w:pPr>
        <w:pStyle w:val="Heading1"/>
        <w:keepNext/>
        <w:ind w:firstLine="0"/>
        <w:jc w:val="both"/>
      </w:pPr>
      <w:r>
        <w:t>3. Sovereign hubs and functional polycentric planning</w:t>
      </w:r>
    </w:p>
    <w:p>
      <w:pPr>
        <w:spacing w:after="40"/>
        <w:jc w:val="both"/>
      </w:pPr>
      <w:r>
        <w:rPr>
          <w:sz w:val="19"/>
        </w:rPr>
        <w:t>Reviewer comment: The reviewer asked how selected nodes can act as sovereign hubs and break dependency on Kinshasa.</w:t>
      </w:r>
    </w:p>
    <w:p>
      <w:pPr>
        <w:spacing w:after="40"/>
        <w:jc w:val="both"/>
      </w:pPr>
      <w:r>
        <w:t>Response: New Sections II.L–M and III.L–M restore the new-hub planning question while distinguishing conditional location optimality from realized functional autonomy. The model selects new grid centres in addition to all 26 existing hubs, with population coverage as the objective and environmental/attachment conditions. Twenty-four new runs have zero solver gap. Functional autonomy is defined through productive, energy, service, employment, exchange and dependence indicators with explicit missing evidence; a 15-km water-proximity constraint tests one resource-access condition. None of the old Yanganga/Ebale scores is relabelled as demonstrated sovereignty. New selected centres are sectors for investigation, not viable construction parcels. Relative autonomy and reduced Kinshasa dependence remain hypotheses requiring functional data. The consolidated revision now adds Sections II.N and III.N with historical high-voltage proximity for all 38 distinct selected centres and Table XXII. In the five-centre example distances range from 8.1 to 278.8 km. Published WBES 2024 national enterprise indicators are documented with their sampling universe. These additions do not establish local reliable power, economic independence or observed service coverage.</w:t>
      </w:r>
    </w:p>
    <w:p>
      <w:pPr>
        <w:spacing w:after="40"/>
        <w:jc w:val="both"/>
      </w:pPr>
      <w:r>
        <w:t>Location and evidence: Sections II.L–N and III.L–N; Fig. 6; Tables XIX–XXII; all_new_hub_scenarios.csv, all_new_hub_selections.csv and functional_evidence/results/.</w:t>
      </w:r>
    </w:p>
    <w:p>
      <w:pPr>
        <w:pStyle w:val="Heading1"/>
        <w:keepNext/>
        <w:ind w:firstLine="0"/>
        <w:jc w:val="both"/>
      </w:pPr>
      <w:r>
        <w:t>4. Hydrological proxy specification</w:t>
      </w:r>
    </w:p>
    <w:p>
      <w:pPr>
        <w:spacing w:after="40"/>
        <w:jc w:val="both"/>
      </w:pPr>
      <w:r>
        <w:rPr>
          <w:sz w:val="19"/>
        </w:rPr>
        <w:t>Reviewer comment: The reviewer requested the formula or GIS procedure behind high/moderate exposure.</w:t>
      </w:r>
    </w:p>
    <w:p>
      <w:pPr>
        <w:spacing w:after="40"/>
        <w:jc w:val="both"/>
      </w:pPr>
      <w:r>
        <w:rPr>
          <w:sz w:val="19"/>
        </w:rP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spacing w:after="40"/>
        <w:jc w:val="both"/>
      </w:pPr>
      <w:r>
        <w:t>Location and evidence: Section II.F; candidate_weight_audit_metadata.json; legacy environment script.</w:t>
      </w:r>
    </w:p>
    <w:p>
      <w:pPr>
        <w:pStyle w:val="Heading1"/>
        <w:keepNext/>
        <w:ind w:firstLine="0"/>
        <w:jc w:val="both"/>
      </w:pPr>
      <w:r>
        <w:t>5. Empirical validation using secondary observations</w:t>
      </w:r>
    </w:p>
    <w:p>
      <w:pPr>
        <w:spacing w:after="40"/>
        <w:jc w:val="both"/>
      </w:pPr>
      <w:r>
        <w:rPr>
          <w:sz w:val="19"/>
        </w:rPr>
        <w:t>Reviewer comment: The reviewer requested validation against actual road, port, flight, field, or historical data.</w:t>
      </w:r>
    </w:p>
    <w:p>
      <w:pPr>
        <w:spacing w:after="40"/>
        <w:jc w:val="both"/>
      </w:pPr>
      <w:r>
        <w:t>Response: Partially addressed with executed external input and route checks, not validated regional population coverage. The satellite reference yields 20.93% length agreement within 100 m with tracks. We now also compare published 2018 Logistics Cluster road distances using the exact directed graph and both travel directions. Main-road Kinshasa–Matadi is 336.03 km versus 355 km published (−5.34%); Kinshasa–Bandundu is 922.62 km versus 490 km (+88.29%), and adding tracks still gives 879.89 km (+79.57%). Endpoint offsets below 0.014 km cannot explain the discrepancy. We report this unfavourable finding and withdraw any general validation claim. The catalogue’s Matadi–Bandundu value violates the triangle inequality with the other two symmetric entries; it is not fitted as a shortest-path calibration target. The benchmark has unspecified terminals/itineraries and an eight-year epoch difference. The JICA and AICD observations remain catalogued with their incompatible targets and limited independence. No GPS, household-access observation or interview is invented. Empirical validation of the regional covering outcome remains outstanding. A follow-up now retrieves three actual OSM ways for Bac Bandundu and adds them using exact shared coordinates, without synthetic gap links. The conditional main-road path falls to 398.99 km, compared with the geographically specified 405-km Mongata route in the Logistics Cluster April 2024 report. This supports a structural explanation of the detour, conditional on ferry usability; current operation and household access remain unvalidated (Sections II.K and III.K, Fig. 5).</w:t>
      </w:r>
    </w:p>
    <w:p>
      <w:pPr>
        <w:spacing w:after="40"/>
        <w:jc w:val="both"/>
      </w:pPr>
      <w:r>
        <w:t>Location and evidence: Sections II.G and II.J–K, III.I–K and IV; Figs. 5; Tables XIV–XVII; references [32]–[39]; route and satellite-road diagnostic CSVs.</w:t>
      </w:r>
    </w:p>
    <w:p>
      <w:pPr>
        <w:pStyle w:val="Heading1"/>
        <w:keepNext/>
        <w:ind w:firstLine="0"/>
        <w:jc w:val="both"/>
      </w:pPr>
      <w:r>
        <w:t>6. Joint uncertainty rather than weights alone</w:t>
      </w:r>
    </w:p>
    <w:p>
      <w:pPr>
        <w:spacing w:after="40"/>
        <w:jc w:val="both"/>
      </w:pPr>
      <w:r>
        <w:rPr>
          <w:sz w:val="19"/>
        </w:rPr>
        <w:t>Reviewer comment: The reviewer requested simultaneous uncertainty in population, OSM completeness, speeds, and coordinates.</w:t>
      </w:r>
    </w:p>
    <w:p>
      <w:pPr>
        <w:spacing w:after="40"/>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Section II.I now adds exact functional ANOVA of the complete categorical factorial design, using explicitly independent uniform mass on levels. Table XII reports first-order and total-effect indices; these are finite-design variance shares, not calibrated error probabilities. The extension adds province and detection-period comparisons plus 1,000 spatial-block resamples for each of two road sets and two block sizes. Track-inclusive agreement is 31.22% for 2019–2022 roads and 10.19% for 2023–2025. The 25-km resampling range is 12.81–30.95%, changing to 12.06–32.26% at 50 km. These are conditional reference-road ranges, not calibrated total-error or hub-coverage confidence intervals. No new covering optimization is counted. Section II.J and Table XVI explain the remaining sources of uncalibrated error. Twelve further exact optimizations test this specific ferry addition across both products, both road-class sets and p = 5/10/15, retaining one-kilometre demand and the 100-km threshold. Coverage is unchanged for p = 5 and 10 and rises by 0.049–0.079 percentage points for p = 15. This is a targeted mode-availability diagnostic, not a calibrated stochastic completeness distribution.</w:t>
      </w:r>
    </w:p>
    <w:p>
      <w:pPr>
        <w:spacing w:after="40"/>
        <w:jc w:val="both"/>
      </w:pPr>
      <w:r>
        <w:t>Location and evidence: Sections II.E, II.H–K and II.L, III.C and III.G–L; Tables II, VI, IX, XII, XVI–XVII and XIX–XX; joint_maximal_coverage_results.csv, repeated_joint_stress.csv and all_new_hub_scenarios.csv.</w:t>
      </w:r>
    </w:p>
    <w:p>
      <w:pPr>
        <w:pStyle w:val="Heading1"/>
        <w:keepNext/>
        <w:ind w:firstLine="0"/>
        <w:jc w:val="both"/>
      </w:pPr>
      <w:r>
        <w:t>7. Justification of multicriteria weights</w:t>
      </w:r>
    </w:p>
    <w:p>
      <w:pPr>
        <w:spacing w:after="40"/>
        <w:jc w:val="both"/>
      </w:pPr>
      <w:r>
        <w:rPr>
          <w:sz w:val="19"/>
        </w:rPr>
        <w:t>Reviewer comment: The reviewer requested empirical justification or expert elicitation for the criterion weights.</w:t>
      </w:r>
    </w:p>
    <w:p>
      <w:pPr>
        <w:spacing w:after="40"/>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 A six-criterion 100-point elicitation form, face-to-face consultation guide and executable response-analysis script are supplied. Actual responses remain absent. The script produces no expert weight or ranking from an empty form; with genuine responses it reports panel dispersion, mean/median aggregation, ties and leave-one-out sensitivity. The six-criterion form applies only to the supplementary grid screen, not the old seven-variable slope audit or the principal unweighted covering objective. This preparation does not fulfil expert elicitation itself. We have additionally executed a CRITIC-style dispersion/correlation weighting of the six admitted grid-score columns, separately at 10 and 25 km. Equations and scale conventions are explicit. At 10 km, seven of ten provincial top centres change versus the assumed weights; at 25 km four of nine change. Table XVIII reports the derived vectors. This provides a transparent matrix-derived comparator, not retrospective expert support for the original vector. Expert elicitation remains unperformed. The new-centre allocation in Section II.L uses no multicriteria preference weights: it maximizes additional population coverage and compares a separate water-access condition. Thus expert elicitation is not claimed or required for interpreting this explicitly unweighted location objective. The old weighted screens remain audits, not endorsements. The objective, service-distance limit and resource constraint remain policy/model choices that need substantive justification and external validation.</w:t>
      </w:r>
    </w:p>
    <w:p>
      <w:pPr>
        <w:spacing w:after="40"/>
        <w:jc w:val="both"/>
      </w:pPr>
      <w:r>
        <w:t>Location and evidence: Sections II.F, II.J–L and III.E, III.K–L; Tables VIII and XVIII; criterion audit outputs. The principal new-centre objective contains no preference-weight vector.</w:t>
      </w:r>
    </w:p>
    <w:p>
      <w:pPr>
        <w:pStyle w:val="Heading1"/>
        <w:keepNext/>
        <w:ind w:firstLine="0"/>
        <w:jc w:val="both"/>
      </w:pPr>
      <w:r>
        <w:t>8. Population alternatives, road completeness, thresholds, grid resolution, forest definition, and Sobol analysis</w:t>
      </w:r>
    </w:p>
    <w:p>
      <w:pPr>
        <w:spacing w:after="40"/>
        <w:jc w:val="both"/>
      </w:pPr>
      <w:r>
        <w:rPr>
          <w:sz w:val="19"/>
        </w:rPr>
        <w:t>Reviewer comment: The reviewer specified WorldPop versus alternatives, segment perturbations, thresholds 15/25/40/100 km, grid resolution, forest definition, and possible Sobol decomposition.</w:t>
      </w:r>
    </w:p>
    <w:p>
      <w:pPr>
        <w:spacing w:after="40"/>
        <w:jc w:val="both"/>
      </w:pPr>
      <w:r>
        <w:rPr>
          <w:sz w:val="19"/>
        </w:rP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calibrate a continuous uncertainty distribution. Section II.I now supplies exact categorical functional ANOVA for all six factorial inputs. For p = 10, the population-product first-order share is 86.07%, with 2.81% assigned to interactions. This finite-design result is not a Monte Carlo Sobol estimate.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spacing w:after="40"/>
        <w:jc w:val="both"/>
      </w:pPr>
      <w:r>
        <w:t>Location and evidence: Sections II.B, II.E–F, II.H–I and II.L, III.G–H and III.L; Tables II, IX–XII and XIX–XX; complete supplementary scenario and candidate-screen tables.</w:t>
      </w:r>
    </w:p>
    <w:p>
      <w:pPr>
        <w:pStyle w:val="Heading1"/>
        <w:keepNext/>
        <w:ind w:firstLine="0"/>
        <w:jc w:val="both"/>
      </w:pPr>
      <w:r>
        <w:t>9. Complete population demand, standard urban definitions, and falsifiable elbow</w:t>
      </w:r>
    </w:p>
    <w:p>
      <w:pPr>
        <w:spacing w:after="40"/>
        <w:jc w:val="both"/>
      </w:pPr>
      <w:r>
        <w:rPr>
          <w:sz w:val="19"/>
        </w:rPr>
        <w:t>Reviewer comment: The reviewer requested population cells or the full locality set, standard urban definitions, and a falsifiable hypothesis.</w:t>
      </w:r>
    </w:p>
    <w:p>
      <w:pPr>
        <w:spacing w:after="40"/>
        <w:jc w:val="both"/>
      </w:pPr>
      <w:r>
        <w:rPr>
          <w:sz w:val="19"/>
        </w:rPr>
        <w:t>Response: The principal model now includes every positive selected population cell: 219,279 WorldPop one-kilometre cells (24,553 five-kilometre cells) and 147,956 GHS-POP one-kilometre cells (21,120 five-kilometre cells). Rural and disconnected demand remain in the denominator. Section II.I now replaces point-only interpretation with four-connected polygons from native GHS-SMOD codes 30, 23, and 22, labelled separately across the country mask before study-region selection. It identifies 47, 182, and 139 morphological components. Aligned native GHS-POP cells determine component population; 25/26 hub points lie in a component. Eight-connectivity is checked explicitly. These footprints are derived morphological components, not official UCDB identifiers or functional urban areas (Section III.H, Table XIII).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spacing w:after="40"/>
        <w:jc w:val="both"/>
      </w:pPr>
      <w:r>
        <w:t>Location and evidence: Sections II.B, II.D, II.F and II.I–L, III.A, III.C–D and III.H, III.L; Tables III, V, XIII and XIX–XX; Figs. 2 and 4; elbow_rule_check.json.</w:t>
      </w:r>
    </w:p>
    <w:p>
      <w:pPr>
        <w:pStyle w:val="Heading1"/>
        <w:keepNext/>
        <w:ind w:firstLine="0"/>
        <w:jc w:val="both"/>
      </w:pPr>
      <w:r>
        <w:t>Reproducibility and release status</w:t>
      </w:r>
    </w:p>
    <w:p>
      <w:pPr>
        <w:spacing w:after="40"/>
        <w:jc w:val="both"/>
      </w:pPr>
      <w:r>
        <w:rPr>
          <w:sz w:val="19"/>
        </w:rP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keepNext/>
        <w:ind w:firstLine="0"/>
        <w:jc w:val="both"/>
      </w:pPr>
      <w:r>
        <w:t>Summary of remaining substantive limitations</w:t>
      </w:r>
    </w:p>
    <w:p>
      <w:pPr>
        <w:spacing w:after="40"/>
        <w:jc w:val="both"/>
      </w:pPr>
      <w:r>
        <w:t>External road and published-route checks have been executed. The conditional ferry scenario explains a major structural component of the Kinshasa–Bandundu detour; current usability remains unverified. Spatial-block resampling strengthens characterization of the satellite reference but does not calibrate a joint model-error distribution. Compatible regional access observations and actual expert responses remain absent. Functional sovereignty, seasonal operations, forest integrity, tenure and constructability are not validated. The 100-km threshold is assumed. These outstanding requirements are substantive and the revision does not assert that all reviewer requests are satisfied.</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PAMBOLO MAYAMBO Néhémie</dc:creator>
  <cp:keywords/>
  <dc:description>generated by python-docx</dc:description>
  <cp:lastModifiedBy/>
  <cp:revision>1</cp:revision>
  <dcterms:created xsi:type="dcterms:W3CDTF">2013-12-23T23:15:00Z</dcterms:created>
  <dcterms:modified xsi:type="dcterms:W3CDTF">2013-12-23T23:15:00Z</dcterms:modified>
  <cp:category/>
</cp:coreProperties>
</file>