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ind w:firstLine="0"/>
      </w:pPr>
    </w:p>
    <w:p>
      <w:pPr>
        <w:ind w:firstLine="0"/>
        <w:jc w:val="center"/>
      </w:pPr>
      <w:r>
        <w:rPr>
          <w:rFonts w:ascii="Times New Roman" w:hAnsi="Times New Roman"/>
          <w:b/>
          <w:sz w:val="32"/>
        </w:rPr>
        <w:t>Planning New Urban Hubs in Western Democratic Republic of the Congo through Conditional Location Optimization and an Assessment Framework for Functional Autonomy</w:t>
      </w:r>
    </w:p>
    <w:p>
      <w:pPr>
        <w:ind w:firstLine="0"/>
        <w:jc w:val="center"/>
      </w:pPr>
      <w:r>
        <w:rPr>
          <w:sz w:val="24"/>
        </w:rPr>
        <w:t>PAMBOLO MAYAMBO Néhémie</w:t>
      </w:r>
    </w:p>
    <w:p>
      <w:pPr>
        <w:ind w:firstLine="0"/>
        <w:jc w:val="center"/>
      </w:pPr>
      <w:r>
        <w:rPr>
          <w:i/>
          <w:sz w:val="18"/>
        </w:rPr>
        <w:t>Department of Mathematics, Statistics and Computer Science, University of Kinshasa, Kinshasa, Democratic Republic of the Congo</w:t>
      </w:r>
    </w:p>
    <w:p>
      <w:pPr>
        <w:ind w:firstLine="0"/>
        <w:jc w:val="center"/>
      </w:pPr>
      <w:r>
        <w:rPr>
          <w:i/>
          <w:sz w:val="18"/>
        </w:rPr>
        <w:t>Corresponding author: nehemiemayambo@gmail.com</w:t>
      </w:r>
    </w:p>
    <w:p>
      <w:pPr>
        <w:ind w:firstLine="0"/>
        <w:jc w:val="center"/>
      </w:pPr>
      <w:r>
        <w:rPr>
          <w:i/>
          <w:sz w:val="18"/>
        </w:rPr>
        <w:t>ORCID: https://orcid.org/0009-0001-5168-273X</w:t>
      </w:r>
    </w:p>
    <w:p>
      <w:pPr>
        <w:ind w:firstLine="0"/>
        <w:jc w:val="both"/>
      </w:pPr>
      <w:r>
        <w:t>Abstract—This study investigates where additional urban hubs could improve territorial integration across Greater Bandundu, Greater Équateur, Kinshasa and Kongo Central. A directed October 2026 OpenStreetMap road graph and complete WorldPop and GHS-POP population grids support conditional location allocation. Twenty-six existing hubs remain fixed; three, five or ten new service centres are selected to maximize additional modelled population within 100 km. Candidate grids of 10 and 25 km use a documented protected-area mask and point-sampled land-cover exclusions. Twenty-four new optimizations compare population products, road-class sets, candidate grids and an optional 15-km water-proximity constraint. All terminate with zero optimality gap. With WorldPop and main roads, five new centres increase five-kilometre-demand coverage from 59.08% to 64.68% on the 25-km candidate grid and to 65.57% on the 10-km grid. At ten new centres on the coarse grid, coverage reaches 69.17%. A forty-route comparison yields 29 finite main-road paths with 24.72% mean absolute relative disagreement with OSRM; two commercial references provide limited documentary checks. Functional autonomy is operationalized as an assessment framework separating measured accessibility proxies from unmeasured productive, energy, service and trade functions. Water proximity is tested as a resource-access condition, not evidence of reliable supply. Selected centres identify sectors for further investigation, not cleared construction parcels or proven sovereign cities. Historical inheritance remains contextual; no colonial causal effect is estimated. Household-access validation, operational transport verification, land rights, investment costs and functional-autonomy observations remain required before implementation.</w:t>
      </w:r>
    </w:p>
    <w:p>
      <w:pPr>
        <w:ind w:firstLine="0"/>
        <w:jc w:val="both"/>
      </w:pPr>
      <w:r>
        <w:t>Keywords—new urban hubs; conditional location allocation; functional autonomy; territorial integration; population coverage; Democratic Republic of the Congo.</w:t>
      </w:r>
    </w:p>
    <w:p>
      <w:pPr>
        <w:sectPr>
          <w:headerReference w:type="default" r:id="rId9"/>
          <w:footerReference w:type="default" r:id="rId10"/>
          <w:pgSz w:w="11906" w:h="16838"/>
          <w:pgMar w:top="1077" w:right="812" w:bottom="1587" w:left="812" w:header="720" w:footer="720" w:gutter="0"/>
          <w:cols w:space="720"/>
          <w:docGrid w:linePitch="360"/>
        </w:sectPr>
      </w:pPr>
    </w:p>
    <w:p>
      <w:pPr>
        <w:pStyle w:val="Heading1"/>
        <w:ind w:firstLine="0"/>
        <w:jc w:val="both"/>
      </w:pPr>
      <w:r>
        <w:t>I. INTRODUCTION</w:t>
      </w:r>
    </w:p>
    <w:p>
      <w:pPr>
        <w:jc w:val="both"/>
      </w:pPr>
      <w:r>
        <w:t>Accessibility analysis connects the spatial distribution of inhabitants with the opportunities they can reach. A transport system can contain many mapped features while providing uneven access to services, and geographical proximity alone does not demonstrate functional connectivity. Transport geography and accessibility research distinguish infrastructure, network impedance, land use, and individual constraints [1], [2]. Global mapping of urban–rural catchments further shows why demand outside large cities must be retained when describing access [3]. These distinctions are particularly relevant to large territories where digital infrastructure inventories are more available than observations of journeys.</w:t>
      </w:r>
    </w:p>
    <w:p>
      <w:pPr>
        <w:jc w:val="both"/>
      </w:pPr>
      <w:r>
        <w:t>The study examines Greater Bandundu, Greater Équateur, Kinshasa, and Kongo Central as one interconnected territorial system. Its ten provinces span the Atlantic interface, the metropolitan concentration around Kinshasa, and substantial interior and northern settlement areas. The planning objective is to locate additional urban hubs that could extend interior service coverage and provide a basis for investigating relative functional autonomy. Accessibility gains are measured conditionally; economic independence, employment and viable urban construction are not inferred from them. Existing-hub analysis supplies the baseline, and new candidate-centre optimization is introduced in Sections II.L–M and III.L–M.</w:t>
      </w:r>
    </w:p>
    <w:p>
      <w:pPr>
        <w:jc w:val="both"/>
      </w:pPr>
      <w:r>
        <w:t>The initial version used a connected synthetic graph and population around 26 named nodes to explore p-median scenarios. Median models provide a clear distance-minimization benchmark [4], [5], but forcing connectivity can conceal precisely the disconnections a regional study should describe. A coverage formulation [6] offers an alternative when demand cells can remain without a route to selected facilities: unreachable demand is retained in the denominator rather than assigned an arbitrary finite journey. Shortest-path calculations [7] must then be performed on a graph whose edge semantics are explicit.</w:t>
      </w:r>
    </w:p>
    <w:p>
      <w:pPr>
        <w:jc w:val="both"/>
      </w:pPr>
      <w:r>
        <w:t>The revised contribution combines an audited baseline with a new-centre location experiment. It compares two population products and road assumptions, then selects screened candidate centres in addition to all 26 existing hubs. The central question is where additional hubs can maximize modelled service coverage, how grid and resource-access assumptions change those solutions, and which further evidence would be necessary to assess functional autonomy. Exact optimization, input checks and an explicit autonomy framework are kept distinct from empirical outcome validation.</w:t>
      </w:r>
    </w:p>
    <w:p>
      <w:pPr>
        <w:jc w:val="both"/>
      </w:pPr>
      <w:r>
        <w:t>Three testable propositions organize the analysis. First, a centrality ranking derived from the synthetic graph should not be treated as stable if changing its topology changes key node ranks substantially. Second, expanding the selected hub set can increase coverage, but the percentage reached may depend materially on the population product and graph assumptions. Third, the earlier proposition of an elbow around ten p-median facilities is assessed using an explicit rule, rather than visual inspection. These are model comparisons, not tests of a colonial cause or of reduced economic dependence on Kinshasa.</w:t>
      </w:r>
    </w:p>
    <w:p>
      <w:pPr>
        <w:jc w:val="both"/>
      </w:pPr>
      <w:r>
        <w:t>Historical transport development motivates the integration question, but no colonial-era network is digitized or compared with current data here. A causal colonial claim is therefore omitted from the title and findings. The ambition of new urban hubs and relative functional autonomy is retained through conditional location optimization and a specified evidence framework; realized sovereignty is not asserted. This distinction permits territorial planning questions without treating a desired future as an observed result.</w:t>
      </w:r>
    </w:p>
    <w:p>
      <w:pPr>
        <w:pStyle w:val="Heading1"/>
        <w:ind w:firstLine="0"/>
        <w:jc w:val="both"/>
      </w:pPr>
      <w:r>
        <w:t>II. MATERIALS AND METHOD</w:t>
      </w:r>
    </w:p>
    <w:p>
      <w:pPr>
        <w:pStyle w:val="Heading2"/>
        <w:ind w:firstLine="0"/>
        <w:jc w:val="left"/>
      </w:pPr>
      <w:r>
        <w:t>A. Study Area, Sources, and Evidence Status</w:t>
      </w:r>
    </w:p>
    <w:p>
      <w:pPr>
        <w:jc w:val="both"/>
      </w:pPr>
      <w:r>
        <w:t>The administrative units are Kinshasa, Kongo Central, Kwango, Kwilu, Maï-Ndombe, Équateur, Mongala, Nord-Ubangi, Sud-Ubangi, and Tshuapa. They are analysed jointly. The common comparison mask uses geoBoundaries COD ADM1, boundary identifier COD-ADM1-28894549, with the producer metadata and geometry retained [8]. A separate boundary sensitivity check uses COD-AB ADM1 v01, valid on 11 September 2019. Boundaries are operational masks, not a resolution of legal or customary territorial claims. Road features are selected using the corresponding ten province codes in the HOT export; small differences between feature attribution and the raster mask are therefore possible.</w:t>
      </w:r>
    </w:p>
    <w:p>
      <w:pPr>
        <w:keepNext/>
        <w:ind w:firstLine="0"/>
        <w:jc w:val="center"/>
      </w:pPr>
      <w:r>
        <w:rPr>
          <w:sz w:val="16"/>
        </w:rPr>
        <w:t>TABLE I</w:t>
        <w:br/>
        <w:t>SOURCES AND ANALYTICAL ROLES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984"/>
        <w:gridCol w:w="1417"/>
        <w:gridCol w:w="1491"/>
      </w:tblGrid>
      <w:tr>
        <w:trPr>
          <w:cantSplit/>
          <w:tblHeader/>
        </w:trPr>
        <w:tc>
          <w:tcPr>
            <w:tcW w:type="dxa" w:w="1984"/>
            <w:vAlign w:val="center"/>
          </w:tcPr>
          <w:p>
            <w:pPr>
              <w:keepNext/>
              <w:spacing w:after="40" w:before="20" w:line="240" w:lineRule="auto"/>
              <w:ind w:firstLine="0"/>
            </w:pPr>
            <w:r>
              <w:rPr>
                <w:rFonts w:ascii="Times New Roman" w:hAnsi="Times New Roman"/>
                <w:b/>
                <w:sz w:val="16"/>
              </w:rPr>
              <w:t>Source / edition</w:t>
            </w:r>
          </w:p>
        </w:tc>
        <w:tc>
          <w:tcPr>
            <w:tcW w:type="dxa" w:w="1417"/>
            <w:vAlign w:val="center"/>
          </w:tcPr>
          <w:p>
            <w:pPr>
              <w:keepNext/>
              <w:spacing w:after="40" w:before="20" w:line="240" w:lineRule="auto"/>
              <w:ind w:firstLine="0"/>
            </w:pPr>
            <w:r>
              <w:rPr>
                <w:rFonts w:ascii="Times New Roman" w:hAnsi="Times New Roman"/>
                <w:b/>
                <w:sz w:val="16"/>
              </w:rPr>
              <w:t>Role</w:t>
            </w:r>
          </w:p>
        </w:tc>
        <w:tc>
          <w:tcPr>
            <w:tcW w:type="dxa" w:w="1491"/>
            <w:vAlign w:val="center"/>
          </w:tcPr>
          <w:p>
            <w:pPr>
              <w:keepNext/>
              <w:spacing w:after="40" w:before="20" w:line="240" w:lineRule="auto"/>
              <w:ind w:firstLine="0"/>
            </w:pPr>
            <w:r>
              <w:rPr>
                <w:rFonts w:ascii="Times New Roman" w:hAnsi="Times New Roman"/>
                <w:b/>
                <w:sz w:val="16"/>
              </w:rPr>
              <w:t>Evidence status</w:t>
            </w:r>
          </w:p>
        </w:tc>
      </w:tr>
      <w:tr>
        <w:trPr>
          <w:cantSplit/>
        </w:trPr>
        <w:tc>
          <w:tcPr>
            <w:tcW w:type="dxa" w:w="1984"/>
            <w:vAlign w:val="center"/>
          </w:tcPr>
          <w:p>
            <w:pPr>
              <w:keepNext/>
              <w:spacing w:after="40" w:before="20" w:line="240" w:lineRule="auto"/>
              <w:ind w:firstLine="0"/>
            </w:pPr>
            <w:r>
              <w:rPr>
                <w:rFonts w:ascii="Times New Roman" w:hAnsi="Times New Roman"/>
                <w:sz w:val="16"/>
              </w:rPr>
              <w:t>WorldPop 2025 R2025A v1 [9]</w:t>
            </w:r>
          </w:p>
        </w:tc>
        <w:tc>
          <w:tcPr>
            <w:tcW w:type="dxa" w:w="1417"/>
            <w:vAlign w:val="center"/>
          </w:tcPr>
          <w:p>
            <w:pPr>
              <w:keepNext/>
              <w:spacing w:after="40" w:before="20" w:line="240" w:lineRule="auto"/>
              <w:ind w:firstLine="0"/>
            </w:pPr>
            <w:r>
              <w:rPr>
                <w:rFonts w:ascii="Times New Roman" w:hAnsi="Times New Roman"/>
                <w:sz w:val="16"/>
              </w:rPr>
              <w:t>Population counts, ~100 m</w:t>
            </w:r>
          </w:p>
        </w:tc>
        <w:tc>
          <w:tcPr>
            <w:tcW w:type="dxa" w:w="1491"/>
            <w:vAlign w:val="center"/>
          </w:tcPr>
          <w:p>
            <w:pPr>
              <w:keepNext/>
              <w:spacing w:after="40" w:before="20" w:line="240" w:lineRule="auto"/>
              <w:ind w:firstLine="0"/>
            </w:pPr>
            <w:r>
              <w:rPr>
                <w:rFonts w:ascii="Times New Roman" w:hAnsi="Times New Roman"/>
                <w:sz w:val="16"/>
              </w:rPr>
              <w:t>Constrained alpha model</w:t>
            </w:r>
          </w:p>
        </w:tc>
      </w:tr>
      <w:tr>
        <w:trPr>
          <w:cantSplit/>
        </w:trPr>
        <w:tc>
          <w:tcPr>
            <w:tcW w:type="dxa" w:w="1984"/>
            <w:vAlign w:val="center"/>
          </w:tcPr>
          <w:p>
            <w:pPr>
              <w:keepNext/>
              <w:spacing w:after="40" w:before="20" w:line="240" w:lineRule="auto"/>
              <w:ind w:firstLine="0"/>
            </w:pPr>
            <w:r>
              <w:rPr>
                <w:rFonts w:ascii="Times New Roman" w:hAnsi="Times New Roman"/>
                <w:sz w:val="16"/>
              </w:rPr>
              <w:t>GHS-POP 2025 R2023A [13]</w:t>
            </w:r>
          </w:p>
        </w:tc>
        <w:tc>
          <w:tcPr>
            <w:tcW w:type="dxa" w:w="1417"/>
            <w:vAlign w:val="center"/>
          </w:tcPr>
          <w:p>
            <w:pPr>
              <w:keepNext/>
              <w:spacing w:after="40" w:before="20" w:line="240" w:lineRule="auto"/>
              <w:ind w:firstLine="0"/>
            </w:pPr>
            <w:r>
              <w:rPr>
                <w:rFonts w:ascii="Times New Roman" w:hAnsi="Times New Roman"/>
                <w:sz w:val="16"/>
              </w:rPr>
              <w:t>Alternative population, 1 km</w:t>
            </w:r>
          </w:p>
        </w:tc>
        <w:tc>
          <w:tcPr>
            <w:tcW w:type="dxa" w:w="1491"/>
            <w:vAlign w:val="center"/>
          </w:tcPr>
          <w:p>
            <w:pPr>
              <w:keepNext/>
              <w:spacing w:after="40" w:before="20" w:line="240" w:lineRule="auto"/>
              <w:ind w:firstLine="0"/>
            </w:pPr>
            <w:r>
              <w:rPr>
                <w:rFonts w:ascii="Times New Roman" w:hAnsi="Times New Roman"/>
                <w:sz w:val="16"/>
              </w:rPr>
              <w:t>Modelled 2025 epoch</w:t>
            </w:r>
          </w:p>
        </w:tc>
      </w:tr>
      <w:tr>
        <w:trPr>
          <w:cantSplit/>
        </w:trPr>
        <w:tc>
          <w:tcPr>
            <w:tcW w:type="dxa" w:w="1984"/>
            <w:vAlign w:val="center"/>
          </w:tcPr>
          <w:p>
            <w:pPr>
              <w:keepNext/>
              <w:spacing w:after="40" w:before="20" w:line="240" w:lineRule="auto"/>
              <w:ind w:firstLine="0"/>
            </w:pPr>
            <w:r>
              <w:rPr>
                <w:rFonts w:ascii="Times New Roman" w:hAnsi="Times New Roman"/>
                <w:sz w:val="16"/>
              </w:rPr>
              <w:t>GHS-SMOD 2025 R2023A V2.0 [14]</w:t>
            </w:r>
          </w:p>
        </w:tc>
        <w:tc>
          <w:tcPr>
            <w:tcW w:type="dxa" w:w="1417"/>
            <w:vAlign w:val="center"/>
          </w:tcPr>
          <w:p>
            <w:pPr>
              <w:keepNext/>
              <w:spacing w:after="40" w:before="20" w:line="240" w:lineRule="auto"/>
              <w:ind w:firstLine="0"/>
            </w:pPr>
            <w:r>
              <w:rPr>
                <w:rFonts w:ascii="Times New Roman" w:hAnsi="Times New Roman"/>
                <w:sz w:val="16"/>
              </w:rPr>
              <w:t>Settlement classes, 1 km</w:t>
            </w:r>
          </w:p>
        </w:tc>
        <w:tc>
          <w:tcPr>
            <w:tcW w:type="dxa" w:w="1491"/>
            <w:vAlign w:val="center"/>
          </w:tcPr>
          <w:p>
            <w:pPr>
              <w:keepNext/>
              <w:spacing w:after="40" w:before="20" w:line="240" w:lineRule="auto"/>
              <w:ind w:firstLine="0"/>
            </w:pPr>
            <w:r>
              <w:rPr>
                <w:rFonts w:ascii="Times New Roman" w:hAnsi="Times New Roman"/>
                <w:sz w:val="16"/>
              </w:rPr>
              <w:t>Standard model classification</w:t>
            </w:r>
          </w:p>
        </w:tc>
      </w:tr>
      <w:tr>
        <w:trPr>
          <w:cantSplit/>
        </w:trPr>
        <w:tc>
          <w:tcPr>
            <w:tcW w:type="dxa" w:w="1984"/>
            <w:vAlign w:val="center"/>
          </w:tcPr>
          <w:p>
            <w:pPr>
              <w:keepNext/>
              <w:spacing w:after="40" w:before="20" w:line="240" w:lineRule="auto"/>
              <w:ind w:firstLine="0"/>
            </w:pPr>
            <w:r>
              <w:rPr>
                <w:rFonts w:ascii="Times New Roman" w:hAnsi="Times New Roman"/>
                <w:sz w:val="16"/>
              </w:rPr>
              <w:t>geoBoundaries COD ADM1 [8]</w:t>
            </w:r>
          </w:p>
        </w:tc>
        <w:tc>
          <w:tcPr>
            <w:tcW w:type="dxa" w:w="1417"/>
            <w:vAlign w:val="center"/>
          </w:tcPr>
          <w:p>
            <w:pPr>
              <w:keepNext/>
              <w:spacing w:after="40" w:before="20" w:line="240" w:lineRule="auto"/>
              <w:ind w:firstLine="0"/>
            </w:pPr>
            <w:r>
              <w:rPr>
                <w:rFonts w:ascii="Times New Roman" w:hAnsi="Times New Roman"/>
                <w:sz w:val="16"/>
              </w:rPr>
              <w:t>Common raster mask</w:t>
            </w:r>
          </w:p>
        </w:tc>
        <w:tc>
          <w:tcPr>
            <w:tcW w:type="dxa" w:w="1491"/>
            <w:vAlign w:val="center"/>
          </w:tcPr>
          <w:p>
            <w:pPr>
              <w:keepNext/>
              <w:spacing w:after="40" w:before="20" w:line="240" w:lineRule="auto"/>
              <w:ind w:firstLine="0"/>
            </w:pPr>
            <w:r>
              <w:rPr>
                <w:rFonts w:ascii="Times New Roman" w:hAnsi="Times New Roman"/>
                <w:sz w:val="16"/>
              </w:rPr>
              <w:t>Represented boundaries</w:t>
            </w:r>
          </w:p>
        </w:tc>
      </w:tr>
      <w:tr>
        <w:trPr>
          <w:cantSplit/>
        </w:trPr>
        <w:tc>
          <w:tcPr>
            <w:tcW w:type="dxa" w:w="1984"/>
            <w:vAlign w:val="center"/>
          </w:tcPr>
          <w:p>
            <w:pPr>
              <w:keepNext/>
              <w:spacing w:after="40" w:before="20" w:line="240" w:lineRule="auto"/>
              <w:ind w:firstLine="0"/>
            </w:pPr>
            <w:r>
              <w:rPr>
                <w:rFonts w:ascii="Times New Roman" w:hAnsi="Times New Roman"/>
                <w:sz w:val="16"/>
              </w:rPr>
              <w:t>HOT/OSM, 5 Oct. 2026 [19]</w:t>
            </w:r>
          </w:p>
        </w:tc>
        <w:tc>
          <w:tcPr>
            <w:tcW w:type="dxa" w:w="1417"/>
            <w:vAlign w:val="center"/>
          </w:tcPr>
          <w:p>
            <w:pPr>
              <w:keepNext/>
              <w:spacing w:after="40" w:before="20" w:line="240" w:lineRule="auto"/>
              <w:ind w:firstLine="0"/>
            </w:pPr>
            <w:r>
              <w:rPr>
                <w:rFonts w:ascii="Times New Roman" w:hAnsi="Times New Roman"/>
                <w:sz w:val="16"/>
              </w:rPr>
              <w:t>Directed road geometry</w:t>
            </w:r>
          </w:p>
        </w:tc>
        <w:tc>
          <w:tcPr>
            <w:tcW w:type="dxa" w:w="1491"/>
            <w:vAlign w:val="center"/>
          </w:tcPr>
          <w:p>
            <w:pPr>
              <w:keepNext/>
              <w:spacing w:after="40" w:before="20" w:line="240" w:lineRule="auto"/>
              <w:ind w:firstLine="0"/>
            </w:pPr>
            <w:r>
              <w:rPr>
                <w:rFonts w:ascii="Times New Roman" w:hAnsi="Times New Roman"/>
                <w:sz w:val="16"/>
              </w:rPr>
              <w:t>Mapped; operation unverified</w:t>
            </w:r>
          </w:p>
        </w:tc>
      </w:tr>
      <w:tr>
        <w:trPr>
          <w:cantSplit/>
        </w:trPr>
        <w:tc>
          <w:tcPr>
            <w:tcW w:type="dxa" w:w="1984"/>
            <w:vAlign w:val="center"/>
          </w:tcPr>
          <w:p>
            <w:pPr>
              <w:spacing w:after="40" w:before="20" w:line="240" w:lineRule="auto"/>
              <w:ind w:firstLine="0"/>
            </w:pPr>
            <w:r>
              <w:rPr>
                <w:rFonts w:ascii="Times New Roman" w:hAnsi="Times New Roman"/>
                <w:sz w:val="16"/>
              </w:rPr>
              <w:t>Released v1.0.0 inputs</w:t>
            </w:r>
          </w:p>
        </w:tc>
        <w:tc>
          <w:tcPr>
            <w:tcW w:type="dxa" w:w="1417"/>
            <w:vAlign w:val="center"/>
          </w:tcPr>
          <w:p>
            <w:pPr>
              <w:spacing w:after="40" w:before="20" w:line="240" w:lineRule="auto"/>
              <w:ind w:firstLine="0"/>
            </w:pPr>
            <w:r>
              <w:rPr>
                <w:rFonts w:ascii="Times New Roman" w:hAnsi="Times New Roman"/>
                <w:sz w:val="16"/>
              </w:rPr>
              <w:t>26 hub coordinates; audits</w:t>
            </w:r>
          </w:p>
        </w:tc>
        <w:tc>
          <w:tcPr>
            <w:tcW w:type="dxa" w:w="1491"/>
            <w:vAlign w:val="center"/>
          </w:tcPr>
          <w:p>
            <w:pPr>
              <w:spacing w:after="40" w:before="20" w:line="240" w:lineRule="auto"/>
              <w:ind w:firstLine="0"/>
            </w:pPr>
            <w:r>
              <w:rPr>
                <w:rFonts w:ascii="Times New Roman" w:hAnsi="Times New Roman"/>
                <w:sz w:val="16"/>
              </w:rPr>
              <w:t>Legacy candidate set</w:t>
            </w:r>
          </w:p>
        </w:tc>
      </w:tr>
    </w:tbl>
    <w:p>
      <w:pPr>
        <w:spacing w:after="0"/>
      </w:pPr>
    </w:p>
    <w:p>
      <w:pPr>
        <w:jc w:val="both"/>
      </w:pPr>
      <w:r>
        <w:t>WorldPop and GHS-POP provide estimated population distributions, not regional census observations. Research on household-based estimation and spatial disaggregation shows the methodological diversity of these products [10], [12]. Cell-level accuracy findings from an unconstrained WorldPop simulation in Namibia [11] are not transferred as numerical error bounds to the constrained DRC product. Comparing two products measures disagreement; shared inputs and modelling assumptions prevent interpreting agreement as independent validation. All source epochs, download URLs, checksums, and generated file counts are recorded in the accompanying replication package.</w:t>
      </w:r>
    </w:p>
    <w:p>
      <w:pPr>
        <w:jc w:val="both"/>
      </w:pPr>
      <w:r>
        <w:t>The baseline existing-hub set contains 26 named GeoNames nodes retained from the original analysis. Masina and Bolenge are excluded as separate facilities to avoid the earlier duplication of Kinshasa and Mbandaka. The name “Bandundu Province” in the source identifier refers to the point used for Bandundu; its label is shortened to Bandundu in the manuscript without moving the coordinate. The nodes are candidate service locations, not a complete regional urban census. These 26 hubs remain fixed in the additional-centre experiment; new screened sites form a separate decision set in Section II.L.</w:t>
      </w:r>
    </w:p>
    <w:p>
      <w:pPr>
        <w:keepNext/>
        <w:ind w:firstLine="0"/>
        <w:jc w:val="center"/>
      </w:pPr>
      <w:r>
        <w:drawing>
          <wp:inline xmlns:a="http://schemas.openxmlformats.org/drawingml/2006/main" xmlns:pic="http://schemas.openxmlformats.org/drawingml/2006/picture">
            <wp:extent cx="3074400" cy="3660000"/>
            <wp:docPr id="1" name="Picture 1"/>
            <wp:cNvGraphicFramePr>
              <a:graphicFrameLocks noChangeAspect="1"/>
            </wp:cNvGraphicFramePr>
            <a:graphic>
              <a:graphicData uri="http://schemas.openxmlformats.org/drawingml/2006/picture">
                <pic:pic>
                  <pic:nvPicPr>
                    <pic:cNvPr id="0" name="fig1_study_area.png"/>
                    <pic:cNvPicPr/>
                  </pic:nvPicPr>
                  <pic:blipFill>
                    <a:blip r:embed="rId11"/>
                    <a:stretch>
                      <a:fillRect/>
                    </a:stretch>
                  </pic:blipFill>
                  <pic:spPr>
                    <a:xfrm>
                      <a:off x="0" y="0"/>
                      <a:ext cx="3074400" cy="3660000"/>
                    </a:xfrm>
                    <a:prstGeom prst="rect"/>
                  </pic:spPr>
                </pic:pic>
              </a:graphicData>
            </a:graphic>
          </wp:inline>
        </w:drawing>
      </w:r>
    </w:p>
    <w:p>
      <w:pPr>
        <w:keepLines/>
        <w:ind w:firstLine="0"/>
      </w:pPr>
      <w:r>
        <w:rPr>
          <w:sz w:val="16"/>
        </w:rPr>
        <w:t>Fig. 1. Common regional mask, WorldPop demand aggregated to 5 km cells, and the 26 existing candidate hubs (open circles). Projection: EPSG:6933. Boundary source: geoBoundaries; population: WorldPop. Colours show modelled counts, not observed density.</w:t>
      </w:r>
    </w:p>
    <w:p>
      <w:pPr>
        <w:pStyle w:val="Heading2"/>
        <w:ind w:firstLine="0"/>
        <w:jc w:val="left"/>
      </w:pPr>
      <w:r>
        <w:t>B. Mass-Conserving Demand and Settlement Classification</w:t>
      </w:r>
    </w:p>
    <w:p>
      <w:pPr>
        <w:jc w:val="both"/>
      </w:pPr>
      <w:r>
        <w:t>For WorldPop, positive finite pixel counts are retained when their pixel centres fall inside the union of the ten provinces. Coordinates are transformed from WGS84 to the equal-area CRS EPSG:6933. A source count is assigned to the one-kilometre bin defined by floor(x/1000), floor(y/1000); five-kilometre cells are nested groups of these bins. Counts are summed, never averaged as if they were densities. No positive population is removed because a cell is rural or disconnected from roads. Each populated grid-cell centre becomes a demand point with its aggregated count as weight.</w:t>
      </w:r>
    </w:p>
    <w:p>
      <w:pPr>
        <w:jc w:val="both"/>
      </w:pPr>
      <w:r>
        <w:t>GHS-POP is processed analogously from the native one-kilometre Mollweide raster [13]. Selected native pixel centres are transformed and assigned to the same equal-area grid. This method conserves the selected count but does not reconstruct subpixel settlement locations. Transforming pixel centres between grids also creates alignment effects. One- and five-kilometre grids are compared to assess aggregation sensitivity; no conclusion of parcel-scale accuracy follows from choosing the finer grid. Zero-count and nodata locations are distinguished during raster processing.</w:t>
      </w:r>
    </w:p>
    <w:p>
      <w:pPr>
        <w:jc w:val="both"/>
      </w:pPr>
      <w:r>
        <w:t>Settlement classes are sampled from GHS-SMOD at hub coordinates and at WorldPop demand-cell centres [14], using the GHSL documentation and the Degree of Urbanisation approach [15]–[18]. The classification replaces the earlier interpretation of five-kilometre buffers as urban agglomerations. It is not used to discard rural demand. A sampled urban-centre code indicates the raster class at a point, not the city’s full footprint, official administrative population, or economic function. Section II.I extends point sampling with explicit classified-cell component footprints and population sums.</w:t>
      </w:r>
    </w:p>
    <w:p>
      <w:pPr>
        <w:pStyle w:val="Heading2"/>
        <w:ind w:firstLine="0"/>
        <w:jc w:val="left"/>
      </w:pPr>
      <w:r>
        <w:t>C. Directed Graph from Mapped Road Geometry</w:t>
      </w:r>
    </w:p>
    <w:p>
      <w:pPr>
        <w:jc w:val="both"/>
      </w:pPr>
      <w:r>
        <w:t>The new graph uses the HOT/OSM road extract dated 5 October 2026 [19]. Main road classes include trunk, primary, secondary, tertiary, their links, unclassified, residential, service, living street, and road. A separate scenario also includes tracks. Paths, footways, construction features, points, and polygons are not added as roads. The main model is a road model; rail, river, and air layers from the original inventory are contextual data and are not silently connected into an operational multimodal graph.</w:t>
      </w:r>
    </w:p>
    <w:p>
      <w:pPr>
        <w:jc w:val="both"/>
      </w:pPr>
      <w:r>
        <w:t>Every retained line is decomposed into consecutive geometry vertices, with WGS84 geodesic lengths as arc weights. Exact shared coordinates establish junctions. Interior vertices retain the layer attribute; endpoints use a common transition level. Existing one-way attributes are respected, including reverse direction where encoded. Missing one-way attributes are treated as bidirectional, and duplicate parallel arcs retain the shortest length. These rules preserve mapped disconnection instead of adding a minimum spanning tree. They do not guarantee a routable inventory: missing access restrictions, bridge or layer tags, inaccurate intersections, and absent original OSM node identifiers can create false joins or missing links.</w:t>
      </w:r>
    </w:p>
    <w:p>
      <w:pPr>
        <w:jc w:val="both"/>
      </w:pPr>
      <w:r>
        <w:t>Road-network modelling is sensitive to representation [22]. Humanitarian mapping evolves over time [20], and documented inequalities in OSM building completeness [21] cannot be treated as numerical estimates of road completeness. The study therefore uses explicit perturbations rather than claiming a known completeness percentage. Mapped roadless areas and environmental interpretation also depend on data and scale [23]. Routes leaving the ten-province extraction are not evaluated; a missing within-region path is not proof that no journey is possible through neighbouring areas or another transport mode.</w:t>
      </w:r>
    </w:p>
    <w:p>
      <w:pPr>
        <w:jc w:val="both"/>
      </w:pPr>
      <w:r>
        <w:t>Demand and hubs are attached to their nearest retained graph vertex using a spherical nearest-neighbour search and geodesic offsets. Attachment is accepted only when the offset is at most 1, 2.5, or 5 km, depending on the scenario. The offset is included in distance at both ends. These are assumed straight connectors; neither terrain nor water crossings are checked. Nearest-vertex attachment differs from snapping to the closest point along a segment. Paths are computed on the reversed directed graph to recover demand-to-hub distances. Unattached or unreachable cells remain in the total population denominator.</w:t>
      </w:r>
    </w:p>
    <w:p>
      <w:pPr>
        <w:ind w:firstLine="0"/>
        <w:jc w:val="center"/>
      </w:pPr>
      <w:r>
        <w:t>dᵢⱼ = aᵢ + shortest_path(vᵢ → vⱼ) + aⱼ.          (1)</w:t>
      </w:r>
    </w:p>
    <w:p>
      <w:pPr>
        <w:jc w:val="both"/>
      </w:pPr>
      <w:r>
        <w:t>Here a denotes connector length and v the attached vertex. If either endpoint fails the connector threshold or no directed path exists, d is infinite. A 100-km threshold is an explicit planning-distance assumption, not a travel-time budget, service standard, or empirically calibrated catchment. The model estimates neither effective speeds nor seasonal travel times. The earlier distance-to-time conversions are withdrawn because no representative speed or transfer dataset was available.</w:t>
      </w:r>
    </w:p>
    <w:p>
      <w:pPr>
        <w:pStyle w:val="Heading2"/>
        <w:ind w:firstLine="0"/>
        <w:jc w:val="left"/>
      </w:pPr>
      <w:r>
        <w:t>D. Population Coverage Optimization</w:t>
      </w:r>
    </w:p>
    <w:p>
      <w:pPr>
        <w:jc w:val="both"/>
      </w:pPr>
      <w:r>
        <w:t>The baseline existing-hub maximal covering model selects exactly p facilities among the 26 existing candidates, with p equal to 5, 10, or 15 [6]. Let Pᵢ be grid-cell population, yⱼ indicate a selected hub, and Cᵢ contain candidates reachable from cell i within 100 km under the attachment rule. The objective and constraints are:</w:t>
      </w:r>
    </w:p>
    <w:p>
      <w:pPr>
        <w:ind w:firstLine="0"/>
        <w:jc w:val="center"/>
      </w:pPr>
      <w:r>
        <w:t>maximize Σᵢ Pᵢ zᵢ;   Σⱼ yⱼ = p.                  (2)</w:t>
      </w:r>
    </w:p>
    <w:p>
      <w:pPr>
        <w:ind w:firstLine="0"/>
        <w:jc w:val="center"/>
      </w:pPr>
      <w:r>
        <w:t>0 ≤ zᵢ ≤ 1;   zᵢ ≤ Σⱼ∈Cᵢ yⱼ;   yⱼ ∈ {0,1}.       (3)</w:t>
      </w:r>
    </w:p>
    <w:p>
      <w:pPr>
        <w:jc w:val="both"/>
      </w:pPr>
      <w:r>
        <w:t>Cells with identical candidate-coverage sets are grouped into binary coverage patterns and their populations summed. This is an exact compression of the objective, not spatial subsampling. Although z is continuous, an optimum with binary y covers all eligible patterns with z = 1 because population weights are positive. SciPy mixed-integer programming uses HiGHS; the selected-set objective is independently recomputed from coverage patterns [29], [30]. Reported solver optimality concerns the specified finite problem, not the correctness of road geometry or the suitability of facility locations.</w:t>
      </w:r>
    </w:p>
    <w:p>
      <w:pPr>
        <w:jc w:val="both"/>
      </w:pPr>
      <w:r>
        <w:t>Coverage is 100 times covered population divided by all selected regional population. All 26 hubs are also evaluated as a ceiling for this candidate set and threshold. Selected identities are one optimizer output; equally optimal sets can exist. If coverage saturates, additional mandated facility slots may add no population. The model does not include installation budgets, capacities, service quality, provincial quotas, functional economic complementarity, or household ability to use a route. It therefore cannot identify a financially optimal number of urban investments.</w:t>
      </w:r>
    </w:p>
    <w:p>
      <w:pPr>
        <w:pStyle w:val="Heading2"/>
        <w:ind w:firstLine="0"/>
        <w:jc w:val="left"/>
      </w:pPr>
      <w:r>
        <w:t>E. Joint Scenario Stress Test</w:t>
      </w:r>
    </w:p>
    <w:p>
      <w:pPr>
        <w:jc w:val="both"/>
      </w:pPr>
      <w:r>
        <w:t>The study evaluates the complete factorial combination in Table II: two population products, two demand resolutions, two road-class definitions, three connector limits, two feature-removal conditions, and two hub-coordinate conditions. The design has 96 configurations for each p and 288 optimization runs. A fixed random sample removes 1% of selected road features in the perturbed condition. A separate fixed perturbation moves each hub 250 m along a random azimuth. Both use seed 20261006 and are held constant across population products and demand resolutions for comparability.</w:t>
      </w:r>
    </w:p>
    <w:p>
      <w:pPr>
        <w:keepNext/>
        <w:ind w:firstLine="0"/>
        <w:jc w:val="center"/>
      </w:pPr>
      <w:r>
        <w:rPr>
          <w:sz w:val="16"/>
        </w:rPr>
        <w:t>TABLE II</w:t>
        <w:br/>
        <w:t>FACTORS IN THE JOINT SCENARIO DESIGN</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757"/>
        <w:gridCol w:w="3135"/>
      </w:tblGrid>
      <w:tr>
        <w:trPr>
          <w:cantSplit/>
          <w:tblHeader/>
        </w:trPr>
        <w:tc>
          <w:tcPr>
            <w:tcW w:type="dxa" w:w="1757"/>
            <w:vAlign w:val="center"/>
          </w:tcPr>
          <w:p>
            <w:pPr>
              <w:keepNext/>
              <w:spacing w:after="40" w:before="20" w:line="240" w:lineRule="auto"/>
              <w:ind w:firstLine="0"/>
            </w:pPr>
            <w:r>
              <w:rPr>
                <w:rFonts w:ascii="Times New Roman" w:hAnsi="Times New Roman"/>
                <w:b/>
                <w:sz w:val="16"/>
              </w:rPr>
              <w:t>Factor</w:t>
            </w:r>
          </w:p>
        </w:tc>
        <w:tc>
          <w:tcPr>
            <w:tcW w:type="dxa" w:w="3135"/>
            <w:vAlign w:val="center"/>
          </w:tcPr>
          <w:p>
            <w:pPr>
              <w:keepNext/>
              <w:spacing w:after="40" w:before="20" w:line="240" w:lineRule="auto"/>
              <w:ind w:firstLine="0"/>
            </w:pPr>
            <w:r>
              <w:rPr>
                <w:rFonts w:ascii="Times New Roman" w:hAnsi="Times New Roman"/>
                <w:b/>
                <w:sz w:val="16"/>
              </w:rPr>
              <w:t>Levels</w:t>
            </w:r>
          </w:p>
        </w:tc>
      </w:tr>
      <w:tr>
        <w:trPr>
          <w:cantSplit/>
        </w:trPr>
        <w:tc>
          <w:tcPr>
            <w:tcW w:type="dxa" w:w="1757"/>
            <w:vAlign w:val="center"/>
          </w:tcPr>
          <w:p>
            <w:pPr>
              <w:keepNext/>
              <w:spacing w:after="40" w:before="20" w:line="240" w:lineRule="auto"/>
              <w:ind w:firstLine="0"/>
            </w:pPr>
            <w:r>
              <w:rPr>
                <w:rFonts w:ascii="Times New Roman" w:hAnsi="Times New Roman"/>
                <w:sz w:val="16"/>
              </w:rPr>
              <w:t>Population</w:t>
            </w:r>
          </w:p>
        </w:tc>
        <w:tc>
          <w:tcPr>
            <w:tcW w:type="dxa" w:w="3135"/>
            <w:vAlign w:val="center"/>
          </w:tcPr>
          <w:p>
            <w:pPr>
              <w:keepNext/>
              <w:spacing w:after="40" w:before="20" w:line="240" w:lineRule="auto"/>
              <w:ind w:firstLine="0"/>
            </w:pPr>
            <w:r>
              <w:rPr>
                <w:rFonts w:ascii="Times New Roman" w:hAnsi="Times New Roman"/>
                <w:sz w:val="16"/>
              </w:rPr>
              <w:t>WorldPop; GHS-POP</w:t>
            </w:r>
          </w:p>
        </w:tc>
      </w:tr>
      <w:tr>
        <w:trPr>
          <w:cantSplit/>
        </w:trPr>
        <w:tc>
          <w:tcPr>
            <w:tcW w:type="dxa" w:w="1757"/>
            <w:vAlign w:val="center"/>
          </w:tcPr>
          <w:p>
            <w:pPr>
              <w:keepNext/>
              <w:spacing w:after="40" w:before="20" w:line="240" w:lineRule="auto"/>
              <w:ind w:firstLine="0"/>
            </w:pPr>
            <w:r>
              <w:rPr>
                <w:rFonts w:ascii="Times New Roman" w:hAnsi="Times New Roman"/>
                <w:sz w:val="16"/>
              </w:rPr>
              <w:t>Demand cell</w:t>
            </w:r>
          </w:p>
        </w:tc>
        <w:tc>
          <w:tcPr>
            <w:tcW w:type="dxa" w:w="3135"/>
            <w:vAlign w:val="center"/>
          </w:tcPr>
          <w:p>
            <w:pPr>
              <w:keepNext/>
              <w:spacing w:after="40" w:before="20" w:line="240" w:lineRule="auto"/>
              <w:ind w:firstLine="0"/>
            </w:pPr>
            <w:r>
              <w:rPr>
                <w:rFonts w:ascii="Times New Roman" w:hAnsi="Times New Roman"/>
                <w:sz w:val="16"/>
              </w:rPr>
              <w:t>1 km; 5 km</w:t>
            </w:r>
          </w:p>
        </w:tc>
      </w:tr>
      <w:tr>
        <w:trPr>
          <w:cantSplit/>
        </w:trPr>
        <w:tc>
          <w:tcPr>
            <w:tcW w:type="dxa" w:w="1757"/>
            <w:vAlign w:val="center"/>
          </w:tcPr>
          <w:p>
            <w:pPr>
              <w:keepNext/>
              <w:spacing w:after="40" w:before="20" w:line="240" w:lineRule="auto"/>
              <w:ind w:firstLine="0"/>
            </w:pPr>
            <w:r>
              <w:rPr>
                <w:rFonts w:ascii="Times New Roman" w:hAnsi="Times New Roman"/>
                <w:sz w:val="16"/>
              </w:rPr>
              <w:t>Road classes</w:t>
            </w:r>
          </w:p>
        </w:tc>
        <w:tc>
          <w:tcPr>
            <w:tcW w:type="dxa" w:w="3135"/>
            <w:vAlign w:val="center"/>
          </w:tcPr>
          <w:p>
            <w:pPr>
              <w:keepNext/>
              <w:spacing w:after="40" w:before="20" w:line="240" w:lineRule="auto"/>
              <w:ind w:firstLine="0"/>
            </w:pPr>
            <w:r>
              <w:rPr>
                <w:rFonts w:ascii="Times New Roman" w:hAnsi="Times New Roman"/>
                <w:sz w:val="16"/>
              </w:rPr>
              <w:t>Main; main plus tracks</w:t>
            </w:r>
          </w:p>
        </w:tc>
      </w:tr>
      <w:tr>
        <w:trPr>
          <w:cantSplit/>
        </w:trPr>
        <w:tc>
          <w:tcPr>
            <w:tcW w:type="dxa" w:w="1757"/>
            <w:vAlign w:val="center"/>
          </w:tcPr>
          <w:p>
            <w:pPr>
              <w:keepNext/>
              <w:spacing w:after="40" w:before="20" w:line="240" w:lineRule="auto"/>
              <w:ind w:firstLine="0"/>
            </w:pPr>
            <w:r>
              <w:rPr>
                <w:rFonts w:ascii="Times New Roman" w:hAnsi="Times New Roman"/>
                <w:sz w:val="16"/>
              </w:rPr>
              <w:t>Connector limit</w:t>
            </w:r>
          </w:p>
        </w:tc>
        <w:tc>
          <w:tcPr>
            <w:tcW w:type="dxa" w:w="3135"/>
            <w:vAlign w:val="center"/>
          </w:tcPr>
          <w:p>
            <w:pPr>
              <w:keepNext/>
              <w:spacing w:after="40" w:before="20" w:line="240" w:lineRule="auto"/>
              <w:ind w:firstLine="0"/>
            </w:pPr>
            <w:r>
              <w:rPr>
                <w:rFonts w:ascii="Times New Roman" w:hAnsi="Times New Roman"/>
                <w:sz w:val="16"/>
              </w:rPr>
              <w:t>1; 2.5; 5 km</w:t>
            </w:r>
          </w:p>
        </w:tc>
      </w:tr>
      <w:tr>
        <w:trPr>
          <w:cantSplit/>
        </w:trPr>
        <w:tc>
          <w:tcPr>
            <w:tcW w:type="dxa" w:w="1757"/>
            <w:vAlign w:val="center"/>
          </w:tcPr>
          <w:p>
            <w:pPr>
              <w:keepNext/>
              <w:spacing w:after="40" w:before="20" w:line="240" w:lineRule="auto"/>
              <w:ind w:firstLine="0"/>
            </w:pPr>
            <w:r>
              <w:rPr>
                <w:rFonts w:ascii="Times New Roman" w:hAnsi="Times New Roman"/>
                <w:sz w:val="16"/>
              </w:rPr>
              <w:t>Feature removal</w:t>
            </w:r>
          </w:p>
        </w:tc>
        <w:tc>
          <w:tcPr>
            <w:tcW w:type="dxa" w:w="3135"/>
            <w:vAlign w:val="center"/>
          </w:tcPr>
          <w:p>
            <w:pPr>
              <w:keepNext/>
              <w:spacing w:after="40" w:before="20" w:line="240" w:lineRule="auto"/>
              <w:ind w:firstLine="0"/>
            </w:pPr>
            <w:r>
              <w:rPr>
                <w:rFonts w:ascii="Times New Roman" w:hAnsi="Times New Roman"/>
                <w:sz w:val="16"/>
              </w:rPr>
              <w:t>0%; fixed 1% random sample</w:t>
            </w:r>
          </w:p>
        </w:tc>
      </w:tr>
      <w:tr>
        <w:trPr>
          <w:cantSplit/>
        </w:trPr>
        <w:tc>
          <w:tcPr>
            <w:tcW w:type="dxa" w:w="1757"/>
            <w:vAlign w:val="center"/>
          </w:tcPr>
          <w:p>
            <w:pPr>
              <w:spacing w:after="40" w:before="20" w:line="240" w:lineRule="auto"/>
              <w:ind w:firstLine="0"/>
            </w:pPr>
            <w:r>
              <w:rPr>
                <w:rFonts w:ascii="Times New Roman" w:hAnsi="Times New Roman"/>
                <w:sz w:val="16"/>
              </w:rPr>
              <w:t>Hub displacement</w:t>
            </w:r>
          </w:p>
        </w:tc>
        <w:tc>
          <w:tcPr>
            <w:tcW w:type="dxa" w:w="3135"/>
            <w:vAlign w:val="center"/>
          </w:tcPr>
          <w:p>
            <w:pPr>
              <w:spacing w:after="40" w:before="20" w:line="240" w:lineRule="auto"/>
              <w:ind w:firstLine="0"/>
            </w:pPr>
            <w:r>
              <w:rPr>
                <w:rFonts w:ascii="Times New Roman" w:hAnsi="Times New Roman"/>
                <w:sz w:val="16"/>
              </w:rPr>
              <w:t>0; fixed 250 m random direction</w:t>
            </w:r>
          </w:p>
        </w:tc>
      </w:tr>
    </w:tbl>
    <w:p>
      <w:pPr>
        <w:spacing w:after="0"/>
      </w:pPr>
    </w:p>
    <w:p>
      <w:pPr>
        <w:jc w:val="both"/>
      </w:pPr>
      <w:r>
        <w:t>Removal and displacement magnitudes are deliberately labelled stress assumptions. Their probabilities are not calibrated to OSM omission rates or geolocation errors. The design combines input and structural choices simultaneously, but does not estimate the full uncertainty distribution. Minimum–maximum coverage envelopes are not confidence intervals or forecasts. A single deletion and displacement realization per condition cannot characterize stochastic tail behaviour; the supplementary five-realization experiment provides an additional check but still cannot estimate tails. Road additions, speed uncertainty, and operational multimodal links are not included in the 288-run design. Candidate-grid and ecological-screening sensitivity are evaluated separately in Section II.H.</w:t>
      </w:r>
    </w:p>
    <w:p>
      <w:pPr>
        <w:jc w:val="both"/>
      </w:pPr>
      <w:r>
        <w:t>Sensitivity literature distinguishes scenario exploration from variance-based attribution [25]–[28]. The factorial stresses introduce population, aggregation, geometry, and topology choices. Their coverage envelopes are scenario ranges. Section II.I adds exact finite-design variance attribution with an explicit independent uniform measure on categorical levels; no empirically calibrated error probabilities are implied.</w:t>
      </w:r>
    </w:p>
    <w:p>
      <w:pPr>
        <w:pStyle w:val="Heading2"/>
        <w:ind w:firstLine="0"/>
        <w:jc w:val="left"/>
      </w:pPr>
      <w:r>
        <w:t>F. Audit of the Earlier Topology, Median, and Candidate Scores</w:t>
      </w:r>
    </w:p>
    <w:p>
      <w:pPr>
        <w:jc w:val="both"/>
      </w:pPr>
      <w:r>
        <w:t>The earlier 26-node graph is re-created using a minimum spanning tree supplemented by k nearest neighbours, with k = 1, 2, 3, 4, 5, and 8. Undirected radius graphs use 15, 25, 40, 50, and 100 km without forced connectivity. Edges are weighted by Haversine distance. Normalized weighted betweenness, component counts, isolates, and closeness with the reachable-fraction correction are exported for all nodes. Average ranks are used for ties. For disconnected graphs, reachability accompanies centrality rather than comparing raw closeness without its support.</w:t>
      </w:r>
    </w:p>
    <w:p>
      <w:pPr>
        <w:jc w:val="both"/>
      </w:pPr>
      <w:r>
        <w:t>The released p-median distances and buffer-based population weights are also retained solely for an audit. Exact mixed-integer programs are solved for p = 2 through 20 [4], [5]. These distances use the rounded edge lengths in the released graph. The revised elbow rule selects the first p for which each of the next three proportional improvements is below 5%. It is specified before interpreting the expanded curve; eligible values are p = 2 through 17. A proposed elbow around p = 8–12 is not accepted unless the rule is met. Because the data were already explored in the first version, this is a transparent audit rule, not a prospectively registered confirmatory hypothesis.</w:t>
      </w:r>
    </w:p>
    <w:p>
      <w:pPr>
        <w:jc w:val="both"/>
      </w:pPr>
      <w:r>
        <w:t>The initial greenfield-site workflow is moved out of the main location recommendation. Its cached environmental sample of 75 compatible points is audited under the seven-variable reference vector (0.24, 0.20, 0.16, 0.08, 0.04, 0.08, 0.20) and a uniform vector. The six preliminary weights had been (0.30, 0.25, 0.20, 0.10, 0.05, 0.10); slope introduced the seventh variable. These weights were assumptions, not expert elicitation or an AHP pairwise-consistency calculation. For each centre, 5,000 Dirichlet weight vectors with concentration 60 and seed 20260902 select one winner per province. The Monte Carlo calculation does not enforce the separate 100-km intersite spacing condition.</w:t>
      </w:r>
    </w:p>
    <w:p>
      <w:pPr>
        <w:jc w:val="both"/>
      </w:pPr>
      <w:r>
        <w:t>For clarity, the cached hydrological proxy is explicitly defined. Exposure is high when mapped-water distance is at most 5 km and exploratory slope is at most 2%; otherwise it is moderate when distance is at most 15 km and slope at most 5%; otherwise it is low. A missing input must be reported as unclassified. Slope is 100 times the larger north–south or east–west elevation difference divided by 2,000 m, using five SRTM90 sample queries around the site. It is a kilometre-scale gradient, not surveyed parcel slope. This rule is a proximity–terrain flag; it uses no river discharge, water level, return period, or inundation depth.</w:t>
      </w:r>
    </w:p>
    <w:p>
      <w:pPr>
        <w:jc w:val="both"/>
      </w:pPr>
      <w:r>
        <w:t>The WorldCover tree-cover class was excluded conservatively in the legacy screen [24], but does not distinguish primary forest from degraded secondary cover or agroforestry. The 10-versus-25-km candidate-grid comparison, extreme tree-exclusion sensitivity, and a current protected-area mask are added in Section II.H. Forest integrity, tenure, and cadastral constraints remain unvalidated. Consequently, the legacy candidate scores cannot support a new-town recommendation. The audit illustrates preference sensitivity only and is separated from the gridded existing-hub coverage model.</w:t>
      </w:r>
    </w:p>
    <w:p>
      <w:pPr>
        <w:pStyle w:val="Heading2"/>
        <w:ind w:firstLine="0"/>
        <w:jc w:val="left"/>
      </w:pPr>
      <w:r>
        <w:t>G. Verification and External Validation Boundary</w:t>
      </w:r>
    </w:p>
    <w:p>
      <w:pPr>
        <w:jc w:val="both"/>
      </w:pPr>
      <w:r>
        <w:t>Computational verification includes population-sum conservation, checksums, compressed-file integrity, graph counts, solver status, and objective recomputation. Cross-product agreement, recovery of known place names, and stability under assumptions are treated as diagnostics, not empirical validation. No observed regional origin–destination matrix, matched road-flow dataset, or field survey is used to validate the coverage values.</w:t>
      </w:r>
    </w:p>
    <w:p>
      <w:pPr>
        <w:jc w:val="both"/>
      </w:pPr>
      <w:r>
        <w:t>A secondary source was nevertheless examined: the JICA Kinshasa transport master-plan report published in April 2019 [32]. It describes 2017 travel-speed surveys on 13 urban routes and count surveys. The route inventory and report pages are retained in the supplement. Those urban route observations do not provide a compatible regional OD matrix or a validation target for the ten-province 100-km hub-coverage objective. Their existence is documented without computing a misleading regional MAE, RMSE, or predictive R². A future urban submodel could be tested against digitized route observations, but that test has not been performed here.</w:t>
      </w:r>
    </w:p>
    <w:p>
      <w:r>
        <w:t>An external input check compares the October 2026 OSM extract with Slagter et al.’s satellite-detected 2019–2025 forest-road development [33], [34]. The reference is clipped to the ten-province union. Lines are projected to a local azimuthal equidistant CRS (19°E, 1°S), divided into subsegments no longer than 25 m, and sampled at subsegment midpoints. Each sample receives its subsegment length as weight. Agreement at tolerance t is the length-weighted fraction whose nearest mapped-road line lies within t. Tolerances are 25, 50, 100, and 250 m; OSM road sets are the main classes, main classes plus tracks, and all mapped line classes. Repeating the calculation at 50 m checks numerical sampling sensitivity. Road geometry agreement does not test graph junctions, traversability, travel time, or coverage. The satellite product represents newly detected forest roads rather than the entire public road network, has its own detection errors, and is not treated as field ground truth. Possible subsequent OSM reuse of satellite mapping cannot be ruled out.</w:t>
      </w:r>
    </w:p>
    <w:p>
      <w:r>
        <w:t>The World Bank AICD inventory and documentation are also downloaded [35]. Positive traffic records are distinguished from the −99 missing sentinel and zero-ID placeholders. Repeated identical traffic values on subdivided segments are not treated as independent observations. The same spatial agreement procedure is applied as a historical corridor benchmark; shared map provenance and the age of the counts limit independence and relevance.</w:t>
      </w:r>
    </w:p>
    <w:p>
      <w:pPr>
        <w:pStyle w:val="Heading2"/>
        <w:ind w:firstLine="0"/>
        <w:jc w:val="left"/>
      </w:pPr>
      <w:r>
        <w:t>H. Repeated Stresses and Environmental Grid Comparison</w:t>
      </w:r>
    </w:p>
    <w:p>
      <w:pPr>
        <w:jc w:val="both"/>
      </w:pPr>
      <w:r>
        <w:t>An additional experiment holds the main road classes, five-kilometre demand grid, and five-kilometre connectors constant while testing 50-, 100-, and 150-km coverage thresholds. Five independent realizations jointly remove 1% of road features and move hub coordinates 250 m in random directions; seeds are 20261007–20261011, with coordinate azimuth seeds offset by 100000. A separate unperturbed baseline is retained. Both population products and p = 5, 10, and 15 are evaluated, giving 108 additional exact optimizations. These repeated stresses assess realization dependence; five draws do not estimate tails, a calibrated probability distribution, or separate variance contributions of deletion and displacement.</w:t>
      </w:r>
    </w:p>
    <w:p>
      <w:pPr>
        <w:jc w:val="both"/>
      </w:pPr>
      <w:r>
        <w:t>Candidate screening is recomputed at 10 and 25 km on one regional mask, with an EPSG:6933 origin at zero. Centres inside the mask must be at least 40 km from existing hubs and at most 25 km from a mapped road or 15 km from a mapped waterway. Road input is held constant between grids; river, rail, and aerodrome geometry comes from the original retained multimodal inventory. Demographic potential is recomputed from the complete five-kilometre WorldPop grid as Σᵢ Pᵢ/[1+(dᵢⱼ/100)²], using projected distances in kilometres. Normalization bounds are shared across both grids. The six reference preference weights and uniform weights are compared; neither is claimed to be elicited. No new slope, tenure, infrastructure-capacity, or constructability assessment is supplied.</w:t>
      </w:r>
    </w:p>
    <w:p>
      <w:pPr>
        <w:jc w:val="both"/>
      </w:pPr>
      <w:r>
        <w:t>Native WorldCover 2021 v200 pixels are sampled at candidate centres [24]. Strict screening admits classes 20, 30, 40, and 60. An extreme sensitivity condition also admits tree-cover class 10 to measure dependence on the hard exclusion; it does not classify forest degradation or endorse forest conversion. Results refer to centre classifications, not the complete land-cover composition of a 10- or 25-km square. A finer forest-integrity layer is still needed to distinguish primary from degraded secondary cover.</w:t>
      </w:r>
    </w:p>
    <w:p>
      <w:pPr>
        <w:jc w:val="both"/>
      </w:pPr>
      <w:r>
        <w:t>The official UNEP-WCMC protected-area view of WDPCA, October 2026, is queried for COD [36]. It returns 59 polygon records and one point record. Designated, Inscribed, and Established statuses are admitted to the exclusion mask; Proposed records are not treated as established protections. Overlapping records are unioned. Two rules are compared: centre intersection with protected polygons, and any intersection of the full square grid cell with polygons or a point-only reported-area buffer. The latter buffer has radius √(reported area/π) in the equal-area CRS and is a screening assumption, not a legal boundary. Protected-area raw geometries and attributes are not redistributed; users must obtain them from the producer under its terms.</w:t>
      </w:r>
    </w:p>
    <w:p>
      <w:pPr>
        <w:jc w:val="both"/>
      </w:pPr>
      <w:r>
        <w:t>A further source check transcribes the two observed screen-line counts in JICA Table 2.3.18 (printed p. 2-94): SL A, 311,333 PCU/day; SL B, 335,747 PCU/day [32]. The table also reports JICA’s calibrated traffic-model estimates, 287,878 and 316,870. These are genuine secondary traffic observations and another model’s outputs. The present maximal-covering model does not predict PCU/day. Consequently, no predictive error against these counts is assigned to the present model and JICA’s calibration is not presented as its validation.</w:t>
      </w:r>
    </w:p>
    <w:p>
      <w:pPr>
        <w:pStyle w:val="Heading2"/>
        <w:ind w:firstLine="0"/>
        <w:jc w:val="left"/>
      </w:pPr>
      <w:r>
        <w:t>I. Variance Attribution and Settlement Footprints</w:t>
      </w:r>
    </w:p>
    <w:p>
      <w:pPr>
        <w:jc w:val="both"/>
      </w:pPr>
      <w:r>
        <w:t>An exact functional ANOVA decomposes coverage variance on the complete 96-configuration factorial table separately for p = 5, 10, and 15. The six categorical factors are population product, demand-grid resolution, road-class set, connector distance, deletion level, and coordinate-displacement level. Each enumerated level is assigned equal independent probability for this calculation only. For each factor subset, its variance component equals the variance of its conditional cell means minus the components of all proper nonempty subsets. Dividing by total variance gives a first-order share for each singleton; summing all components containing that factor gives its total-effect share. All 63 nonempty components are included and their sum is checked against total variance. This is finite-design attribution under a declared scenario measure, not a calibrated error distribution or a continuous-parameter Monte Carlo Sobol estimate [27], [28].</w:t>
      </w:r>
    </w:p>
    <w:p>
      <w:pPr>
        <w:jc w:val="both"/>
      </w:pPr>
      <w:r>
        <w:t>Morphological settlement footprints are extracted from the native 2025 GHS-SMOD R2023A V2.0 one-kilometre Mollweide raster [14]–[18]. Published codes 30 (urban centre), 23 (dense urban cluster), and 22 (semi-dense urban cluster) are labelled separately using four-connected cells. The complete COD administrative union is applied by cell-centre inclusion before labelling; study-region selection follows labelling, avoiding artificial splits at provincial boundaries. Producer classification and smoothing are retained. Native, aligned GHS-POP cells are summed over each component. These derived classified-cell polygons are not official UCDB identifiers, functional urban areas, or administrative city populations. Hub membership requires its point to lie in a component; unmatched points are retained. Rural demand is not discarded.</w:t>
      </w:r>
    </w:p>
    <w:p>
      <w:pPr>
        <w:pStyle w:val="Heading2"/>
        <w:ind w:firstLine="0"/>
        <w:jc w:val="both"/>
      </w:pPr>
      <w:r>
        <w:t>J. Published Route Benchmark and Spatial Road Variation</w:t>
      </w:r>
    </w:p>
    <w:p>
      <w:pPr>
        <w:jc w:val="both"/>
      </w:pPr>
      <w:r>
        <w:t>A Logistics Cluster distance catalogue dated 6 September 2018 provides road distances for Kinshasa, Matadi and Bandundu [37]. The GeoNames hub coordinates are attached to the same directed main-road graph and track-inclusive alternative used in the covering experiment. Both directions of each pair are computed, including endpoint offsets. The comparison is an external route benchmark: catalogue terminals, prescribed itineraries, seasonal accessibility and measurement methods are unspecified, and the reference predates the OSM snapshot by eight years. The catalogue is therefore not treated as observed GPS trajectories or a calibrated error sample. The Matadi–Bandundu entry is checked for consistency with the two other entries before any interpretation.</w:t>
      </w:r>
    </w:p>
    <w:p>
      <w:pPr>
        <w:jc w:val="both"/>
      </w:pPr>
      <w:r>
        <w:t>The satellite-road comparison is extended by province and detection period, retaining the same 25-m midpoint sampling and 100-m tolerance. Within each road set, subsegment weights are aggregated in fixed 25- and 50-km projected blocks. For each block size, 1,000 draws resample the nonempty blocks with replacement using seed 20261008; agreement is recomputed as total matched length divided by total reference length. The 2.5th and 97.5th percentiles describe conditional spatial resampling variation. They are not confidence bounds for total road completeness, routing error or hub coverage: reference detection error, private access, temporal mismatch and unsampled roads remain unmodelled. No coverage optimization is added by these 4,000 resampling draws.</w:t>
      </w:r>
    </w:p>
    <w:p>
      <w:pPr>
        <w:jc w:val="both"/>
      </w:pPr>
      <w:r>
        <w:t>The supplementary preference-weight screen remains an audit rather than the basis of new-centre selection. A consultation protocol and blank forms are available for a future preference study, but no expert response is claimed. The new-centre model instead maximizes additional population coverage and uses explicit alternative constraints. It does not depend on the old assumed weights, the CRITIC vector, or an unavailable expert panel. Avoiding preference aggregation does not validate the inputs, establish construction feasibility or remove the requirement for external access observations.</w:t>
      </w:r>
    </w:p>
    <w:p>
      <w:pPr>
        <w:pStyle w:val="Heading2"/>
        <w:ind w:firstLine="0"/>
        <w:jc w:val="both"/>
      </w:pPr>
      <w:r>
        <w:t>K. Conditional Ferry Connectivity and Data-Derived Weights</w:t>
      </w:r>
    </w:p>
    <w:p>
      <w:pPr>
        <w:jc w:val="both"/>
      </w:pPr>
      <w:r>
        <w:t>The Logistics Cluster access report of 18 April 2024 identifies Bandundu access via Mongata with a bac and reports 405 km [38]. It also describes difficult road conditions and another ferry-dependent itinerary. Route numbers differ between its table and mapped RN17 annotations; this inconsistency is retained. Three OSM ways forming Bac Bandundu (49809124, 980566897, 980566898) are retrieved on 8 October 2026 [39]. Their geometry is added to each main/track road graph, using exact shared coordinates only. No artificial gap link is created. Bidirectional usability is assumed for a conditional diagnostic; waiting, fares, capacity limits, security and seasonality are omitted. This scenario tests an identifiable structural omission, without certifying current operation or replacing the road-only baseline.</w:t>
      </w:r>
    </w:p>
    <w:p>
      <w:pPr>
        <w:jc w:val="both"/>
      </w:pPr>
      <w:r>
        <w:t>Twelve new maximal-covering optimizations use this conditional ferry graph: two road-class sets, two population products, and p = 5, 10 and 15. Demand remains the complete one-kilometre grid, connectors remain at most 5 km, and the covering threshold remains 100 km, with no deletion or coordinate displacement. Baselines are matched to the corresponding existing runs. Paths beyond 100 km need not be evaluated for this objective. Each selected-set objective is independently recomputed. These targeted mode-availability tests are distinct from the 288-run factorial and are not fitted failure probabilities.</w:t>
      </w:r>
    </w:p>
    <w:p>
      <w:pPr>
        <w:jc w:val="both"/>
      </w:pPr>
      <w:r>
        <w:t>A CRITIC-style diagnostic derives weights from the six existing candidate-score columns [40]. Scores retain their common 0–1 transformations rather than being rescaled separately to each grid’s observed extrema. For each strict full-cell environmental screen, sigma_j is score standard deviation across retained centres (ddof = 0), r_jk is Pearson correlation, C_j = sigma_j Σ_k(1 − r_jk), and w_j = C_j / Σ_l C_l. Each retained centre has equal sampling weight. Separate 10- and 25-km computations are compared with the assumed and uniform vectors on exactly the same candidate sets. Tied provincial maxima are retained. Contrast/correlation weights describe the chosen evaluation matrix; they do not estimate expert preferences, validate the six transformations, or justify the original 30/25/20/10/5/10 allocation retrospectively.</w:t>
      </w:r>
    </w:p>
    <w:p>
      <w:pPr>
        <w:pStyle w:val="Heading2"/>
        <w:ind w:firstLine="0"/>
        <w:jc w:val="both"/>
      </w:pPr>
      <w:r>
        <w:t>L. Conditional Allocation of Additional Urban Hubs</w:t>
      </w:r>
    </w:p>
    <w:p>
      <w:pPr>
        <w:jc w:val="both"/>
      </w:pPr>
      <w:r>
        <w:t>All 26 existing hubs are retained as a fixed service baseline. This assumes comparable service availability and no capacity limits; actual service inventories are unavailable. Let b_i be one if demand cell i lies within 100 km of at least one fixed hub in the specified graph. New candidate set J comprises screened 10- or 25-km grid centres from Section II.H: at least 40 km from the retained hubs, permitted WorldCover point classes 20, 30, 40 or 60, and no full-cell intersection with the protected-area polygons or the reported-area point buffer. This retains 1,583 and 241 centres, respectively. Proximity to the 26 hubs does not establish distance from every town or village. A candidate can represent expansion of an existing rural settlement; neither vacant land nor a legally new city is established.</w:t>
      </w:r>
    </w:p>
    <w:p>
      <w:pPr>
        <w:jc w:val="both"/>
      </w:pPr>
      <w:r>
        <w:t>Candidate centres attach to the nearest retained road vertex with a geodesic connector at most 5 km; connectors are assumed, not newly designed roads. Demand is the full 5-km grid from each population product, with the same attachment rule. Unattached and unreachable cells remain in the denominator. The candidate set after attachment has 1,291/1,358 centres on the 10-km grid and 201/208 on the 25-km grid for main roads/roads plus tracks. The directed geometry graph and distance threshold are unchanged. Ferries are not added in this experiment, to retain a matched road-only baseline; Section III.K is a separate conditional mode test.</w:t>
      </w:r>
    </w:p>
    <w:p>
      <w:pPr>
        <w:jc w:val="both"/>
      </w:pPr>
      <w:r>
        <w:t>For a_ij = 1 when cell i can reach new candidate j within 100 km including connectors, maximize Σ_i P_i(1−b_i)y_i subject to y_i ≤ Σ_j a_ij x_j, Σ_j x_j = q, and binary x_j. Covered-demand variables y_i lie in [0,1]; positive weights and binary site choices yield exact covered masses. No preference weights or economic-autonomy score enter this objective. The baseline union is counted once and removed from marginal demand. Demand with identical full candidate-incidence vectors is aggregated by population sum using packed bits; no 26-site encoding limit applies. The reported selected sets are one optimum, with possible ties. Chosen q values are scenarios, not an estimated optimum number of cities; no budget or site-capacity model is available.</w:t>
      </w:r>
    </w:p>
    <w:p>
      <w:pPr>
        <w:jc w:val="both"/>
      </w:pPr>
      <w:r>
        <w:t>On the 25-km candidate grid, q = 3, 5 and 10 are crossed with two road sets and two population products, giving 12 runs. An additional q = 5 screen requires distance to mapped water at most 15 km, giving four runs. The 10-km grid repeats q = 5 with and without this water constraint across both road sets and products, giving eight runs. The total is 24 new optimizations, distinct from the 408 existing-hub and audit runs. Every objective is recomputed from the original demand weights and selected-site union. This experiment varies candidate grids but holds demand resolution at 5 km; earlier 1/5-km existing-hub sensitivities do not establish fine-grid stability of the new-site solutions. The water threshold is an explicit scenario choice, not an elicited or calibrated standard.</w:t>
      </w:r>
    </w:p>
    <w:p>
      <w:pPr>
        <w:pStyle w:val="Heading2"/>
        <w:ind w:firstLine="0"/>
        <w:jc w:val="both"/>
      </w:pPr>
      <w:r>
        <w:t>M. Functional Autonomy as an Assessment Framework</w:t>
      </w:r>
    </w:p>
    <w:p>
      <w:pPr>
        <w:jc w:val="both"/>
      </w:pPr>
      <w:r>
        <w:t>Relative functional autonomy denotes the capacity of a hub and its hinterland to satisfy essential functions while exchanging with other territories. It does not imply isolation or national political sovereignty. Urban–rural linkage frameworks examine flows of people, products, services and information [41]; polycentricity has scale-dependent functional meanings and cannot be inferred solely from several selected points [42]. This study treats autonomy as a planning hypothesis requiring separately documented functions, not as an existing composite score.</w:t>
      </w:r>
    </w:p>
    <w:p>
      <w:pPr>
        <w:jc w:val="both"/>
      </w:pPr>
      <w:r>
        <w:t>The operational evidence framework specifies productive capacity as the share of hinterland output processed locally; energy as hours of dependable service and the capacity to sustain critical uses; services as the proportion of identified health, education and administrative needs met locally; employment as local jobs and work-related travel; exchanges as observed origin–destination links; and dependence as the share of essential supply or services requiring Kinshasa. Their denominators, territories, dates and service categories must be defined before collection. None of these outcomes is estimated from population, illumination or proximity alone. Available population potential, land-cover class and mapped road/water/rail/air distances are reported as contextual proxies only. Missing energy, employment, production and trade observations remain missing; no zero, imputed achievement or sovereignty threshold is substituted.</w:t>
      </w:r>
    </w:p>
    <w:p>
      <w:pPr>
        <w:jc w:val="both"/>
      </w:pPr>
      <w:r>
        <w:t>The optional water constraint connects one resource-access consideration to the location model without an arbitrary weighted index. Distance to a waterway cannot establish potable water, dry-season yield, flood safety or navigability. Evaluating a new-city scenario would require engineering and financial designs for production, utilities, services and connections, followed by feasibility and rights assessments. Realized autonomy would require subsequent observations; any simulation of future autonomy must remain conditional on separately specified investment assumptions.</w:t>
      </w:r>
    </w:p>
    <w:p>
      <w:pPr>
        <w:pStyle w:val="Heading2"/>
        <w:ind w:firstLine="0"/>
        <w:jc w:val="both"/>
      </w:pPr>
      <w:r>
        <w:rPr/>
        <w:t>N. Historical Electricity Infrastructure and Enterprise Context</w:t>
      </w:r>
    </w:p>
    <w:p>
      <w:pPr>
        <w:jc w:val="both"/>
      </w:pPr>
      <w:r>
        <w:rPr/>
        <w:t>A World Bank DRC EASE high-voltage network file titled COD_HV_Network_2018 is used as a separate infrastructure-context layer [43]. The download contains 46 line features in WGS84. The catalogue describes mapping revised with SNEL and energy specialists; its release year 2021 and metadata update 2025 do not establish current operational conditions. The layer is historical linework, not a census of present distribution, mini-grids or reliable electricity access.</w:t>
      </w:r>
    </w:p>
    <w:p>
      <w:pPr>
        <w:jc w:val="both"/>
      </w:pPr>
      <w:r>
        <w:rPr/>
        <w:t>For the 38 distinct new centres selected across the 24 scenarios, source linework is densified at a maximum segment length of 0.01 degree and transformed into a WGS84 azimuthal equidistant projection centred on each candidate. Shortest point-to-line distance is computed in metres and converted to kilometres. A numerical check at 0.001-degree densification changes the five example distances by less than 0.001 km; this checks discretization, not source positional accuracy. Historical geometric proximity is not a feasible connection length or an operating-capacity measure. This diagnostic does not change candidate selection or the coverage objective.</w:t>
      </w:r>
    </w:p>
    <w:p>
      <w:pPr>
        <w:jc w:val="both"/>
      </w:pPr>
      <w:r>
        <w:rPr/>
        <w:t>Published indicators from the World Bank Enterprise Survey (WBES) RDC 2024 provide observed national enterprise context [44]. Its universe covers eligible registered non-agricultural private establishments with at least five employees; interviews were conducted between April and December 2024, and population inference requires survey weights [45]. Published profile indicators are transcribed with their universe and source page. Microdata are not downloaded or analysed here, and national indicators are not assigned to candidate locations or used to calibrate road-access errors.</w:t>
      </w:r>
    </w:p>
    <w:p>
      <w:pPr>
        <w:pStyle w:val="Heading2"/>
        <w:ind w:firstLine="0"/>
        <w:jc w:val="both"/>
      </w:pPr>
      <w:r>
        <w:rPr/>
        <w:t>O. Forty Route Comparison and Documentary Audit</w:t>
      </w:r>
    </w:p>
    <w:p>
      <w:pPr>
        <w:jc w:val="both"/>
      </w:pPr>
      <w:r>
        <w:rPr/>
        <w:t>An additional audit uses 40 locality pairs and coordinates supplied in a CSV dated 12 October 2026. The input contains OSRM driving-route distances and request URLs, not GPS observations. The unchanged graph-building functions are applied to the original HOT/OSM road archive, reacquired with the same SHA256 hash as the archived source. Four variants are evaluated: main roads and main roads plus tracks, each without and with the three mapped Bandundu ferry ways under the earlier conditional usability assumption. Forward paths use the input coordinates, nearest graph vertices, and geodesic connectors of at most 5 km at both ends. No missing connection is filled to match a reference. The complete sample, unavailable paths and connector offsets are exported.</w:t>
      </w:r>
    </w:p>
    <w:p>
      <w:pPr>
        <w:jc w:val="both"/>
      </w:pPr>
      <w:r>
        <w:rPr/>
        <w:t>OSRM selects a fastest driving route under its profile [46], while our graph minimizes geodesic length. Both reuse OSM provenance; server data epoch, original raw responses and waypoint snapping offsets are not recorded in the supplied CSV. Thus differences can reflect graph, profile, cost, endpoint and epoch choices. On finite paths, absolute relative difference is 100|d_model−d_OSRM|/d_OSRM and signed difference is d_model−d_OSRM. Means and medians describe the supplied unweighted finite sample, not regional probabilities or calibrated prediction errors. Unavailable routes are reported separately; the 100-km classification check is conditional on finite comparability. No national extrapolation, confidence interval or population-coverage validation is inferred.</w:t>
      </w:r>
    </w:p>
    <w:p>
      <w:pPr>
        <w:jc w:val="both"/>
      </w:pPr>
      <w:r>
        <w:rPr/>
        <w:t>The supplied documentary table names three non-OSRM references. Two commercial catalogue values are verified on the cited page [47], with undisclosed measurement method, terminals, route date and underlying cartography. The third is a secondary Scribd reproduction whose original provenance could not be verified; it remains flagged and is excluded from confirmed documentary checks. We do not assume that an advertised distance is an independent surveyed road length. All supplied references are preserved in the supplement, without assigning an observed-value status to simulated or cartographic inputs.</w:t>
      </w:r>
    </w:p>
    <w:p>
      <w:pPr>
        <w:pStyle w:val="Heading1"/>
        <w:ind w:firstLine="0"/>
        <w:jc w:val="both"/>
      </w:pPr>
      <w:r>
        <w:t>III. RESULTS AND DISCUSSION</w:t>
      </w:r>
    </w:p>
    <w:p>
      <w:pPr>
        <w:pStyle w:val="Heading2"/>
        <w:ind w:firstLine="0"/>
        <w:jc w:val="left"/>
      </w:pPr>
      <w:r>
        <w:t>A. Population Coverage of the Study Mask</w:t>
      </w:r>
    </w:p>
    <w:p>
      <w:pPr>
        <w:keepNext/>
        <w:ind w:firstLine="0"/>
        <w:jc w:val="center"/>
      </w:pPr>
      <w:r>
        <w:rPr>
          <w:sz w:val="16"/>
        </w:rPr>
        <w:t>TABLE III</w:t>
        <w:br/>
        <w:t>MODELLED POPULATION AND DEMAND GRIDS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2041"/>
        <w:gridCol w:w="1426"/>
        <w:gridCol w:w="1426"/>
      </w:tblGrid>
      <w:tr>
        <w:trPr>
          <w:cantSplit/>
          <w:tblHeader/>
        </w:trPr>
        <w:tc>
          <w:tcPr>
            <w:tcW w:type="dxa" w:w="2041"/>
            <w:vAlign w:val="center"/>
          </w:tcPr>
          <w:p>
            <w:pPr>
              <w:keepNext/>
              <w:spacing w:after="40" w:before="20" w:line="240" w:lineRule="auto"/>
              <w:ind w:firstLine="0"/>
            </w:pPr>
            <w:r>
              <w:rPr>
                <w:rFonts w:ascii="Times New Roman" w:hAnsi="Times New Roman"/>
                <w:b/>
                <w:sz w:val="16"/>
              </w:rPr>
              <w:t>Measure</w:t>
            </w:r>
          </w:p>
        </w:tc>
        <w:tc>
          <w:tcPr>
            <w:tcW w:type="dxa" w:w="1426"/>
            <w:vAlign w:val="center"/>
          </w:tcPr>
          <w:p>
            <w:pPr>
              <w:keepNext/>
              <w:spacing w:after="40" w:before="20" w:line="240" w:lineRule="auto"/>
              <w:ind w:firstLine="0"/>
            </w:pPr>
            <w:r>
              <w:rPr>
                <w:rFonts w:ascii="Times New Roman" w:hAnsi="Times New Roman"/>
                <w:b/>
                <w:sz w:val="16"/>
              </w:rPr>
              <w:t>WorldPop</w:t>
            </w:r>
          </w:p>
        </w:tc>
        <w:tc>
          <w:tcPr>
            <w:tcW w:type="dxa" w:w="1426"/>
            <w:vAlign w:val="center"/>
          </w:tcPr>
          <w:p>
            <w:pPr>
              <w:keepNext/>
              <w:spacing w:after="40" w:before="20" w:line="240" w:lineRule="auto"/>
              <w:ind w:firstLine="0"/>
            </w:pPr>
            <w:r>
              <w:rPr>
                <w:rFonts w:ascii="Times New Roman" w:hAnsi="Times New Roman"/>
                <w:b/>
                <w:sz w:val="16"/>
              </w:rPr>
              <w:t>GHS-POP</w:t>
            </w:r>
          </w:p>
        </w:tc>
      </w:tr>
      <w:tr>
        <w:trPr>
          <w:cantSplit/>
        </w:trPr>
        <w:tc>
          <w:tcPr>
            <w:tcW w:type="dxa" w:w="2041"/>
            <w:vAlign w:val="center"/>
          </w:tcPr>
          <w:p>
            <w:pPr>
              <w:keepNext/>
              <w:spacing w:after="40" w:before="20" w:line="240" w:lineRule="auto"/>
              <w:ind w:firstLine="0"/>
            </w:pPr>
            <w:r>
              <w:rPr>
                <w:rFonts w:ascii="Times New Roman" w:hAnsi="Times New Roman"/>
                <w:sz w:val="16"/>
              </w:rPr>
              <w:t>Regional total</w:t>
            </w:r>
          </w:p>
        </w:tc>
        <w:tc>
          <w:tcPr>
            <w:tcW w:type="dxa" w:w="1426"/>
            <w:vAlign w:val="center"/>
          </w:tcPr>
          <w:p>
            <w:pPr>
              <w:keepNext/>
              <w:spacing w:after="40" w:before="20" w:line="240" w:lineRule="auto"/>
              <w:ind w:firstLine="0"/>
            </w:pPr>
            <w:r>
              <w:rPr>
                <w:rFonts w:ascii="Times New Roman" w:hAnsi="Times New Roman"/>
                <w:sz w:val="16"/>
              </w:rPr>
              <w:t>43,302,132</w:t>
            </w:r>
          </w:p>
        </w:tc>
        <w:tc>
          <w:tcPr>
            <w:tcW w:type="dxa" w:w="1426"/>
            <w:vAlign w:val="center"/>
          </w:tcPr>
          <w:p>
            <w:pPr>
              <w:keepNext/>
              <w:spacing w:after="40" w:before="20" w:line="240" w:lineRule="auto"/>
              <w:ind w:firstLine="0"/>
            </w:pPr>
            <w:r>
              <w:rPr>
                <w:rFonts w:ascii="Times New Roman" w:hAnsi="Times New Roman"/>
                <w:sz w:val="16"/>
              </w:rPr>
              <w:t>34,033,890</w:t>
            </w:r>
          </w:p>
        </w:tc>
      </w:tr>
      <w:tr>
        <w:trPr>
          <w:cantSplit/>
        </w:trPr>
        <w:tc>
          <w:tcPr>
            <w:tcW w:type="dxa" w:w="2041"/>
            <w:vAlign w:val="center"/>
          </w:tcPr>
          <w:p>
            <w:pPr>
              <w:keepNext/>
              <w:spacing w:after="40" w:before="20" w:line="240" w:lineRule="auto"/>
              <w:ind w:firstLine="0"/>
            </w:pPr>
            <w:r>
              <w:rPr>
                <w:rFonts w:ascii="Times New Roman" w:hAnsi="Times New Roman"/>
                <w:sz w:val="16"/>
              </w:rPr>
              <w:t>Positive 1-km cells</w:t>
            </w:r>
          </w:p>
        </w:tc>
        <w:tc>
          <w:tcPr>
            <w:tcW w:type="dxa" w:w="1426"/>
            <w:vAlign w:val="center"/>
          </w:tcPr>
          <w:p>
            <w:pPr>
              <w:keepNext/>
              <w:spacing w:after="40" w:before="20" w:line="240" w:lineRule="auto"/>
              <w:ind w:firstLine="0"/>
            </w:pPr>
            <w:r>
              <w:rPr>
                <w:rFonts w:ascii="Times New Roman" w:hAnsi="Times New Roman"/>
                <w:sz w:val="16"/>
              </w:rPr>
              <w:t>219,279</w:t>
            </w:r>
          </w:p>
        </w:tc>
        <w:tc>
          <w:tcPr>
            <w:tcW w:type="dxa" w:w="1426"/>
            <w:vAlign w:val="center"/>
          </w:tcPr>
          <w:p>
            <w:pPr>
              <w:keepNext/>
              <w:spacing w:after="40" w:before="20" w:line="240" w:lineRule="auto"/>
              <w:ind w:firstLine="0"/>
            </w:pPr>
            <w:r>
              <w:rPr>
                <w:rFonts w:ascii="Times New Roman" w:hAnsi="Times New Roman"/>
                <w:sz w:val="16"/>
              </w:rPr>
              <w:t>147,956</w:t>
            </w:r>
          </w:p>
        </w:tc>
      </w:tr>
      <w:tr>
        <w:trPr>
          <w:cantSplit/>
        </w:trPr>
        <w:tc>
          <w:tcPr>
            <w:tcW w:type="dxa" w:w="2041"/>
            <w:vAlign w:val="center"/>
          </w:tcPr>
          <w:p>
            <w:pPr>
              <w:keepNext/>
              <w:spacing w:after="40" w:before="20" w:line="240" w:lineRule="auto"/>
              <w:ind w:firstLine="0"/>
            </w:pPr>
            <w:r>
              <w:rPr>
                <w:rFonts w:ascii="Times New Roman" w:hAnsi="Times New Roman"/>
                <w:sz w:val="16"/>
              </w:rPr>
              <w:t>Positive 5-km cells</w:t>
            </w:r>
          </w:p>
        </w:tc>
        <w:tc>
          <w:tcPr>
            <w:tcW w:type="dxa" w:w="1426"/>
            <w:vAlign w:val="center"/>
          </w:tcPr>
          <w:p>
            <w:pPr>
              <w:keepNext/>
              <w:spacing w:after="40" w:before="20" w:line="240" w:lineRule="auto"/>
              <w:ind w:firstLine="0"/>
            </w:pPr>
            <w:r>
              <w:rPr>
                <w:rFonts w:ascii="Times New Roman" w:hAnsi="Times New Roman"/>
                <w:sz w:val="16"/>
              </w:rPr>
              <w:t>24,553</w:t>
            </w:r>
          </w:p>
        </w:tc>
        <w:tc>
          <w:tcPr>
            <w:tcW w:type="dxa" w:w="1426"/>
            <w:vAlign w:val="center"/>
          </w:tcPr>
          <w:p>
            <w:pPr>
              <w:keepNext/>
              <w:spacing w:after="40" w:before="20" w:line="240" w:lineRule="auto"/>
              <w:ind w:firstLine="0"/>
            </w:pPr>
            <w:r>
              <w:rPr>
                <w:rFonts w:ascii="Times New Roman" w:hAnsi="Times New Roman"/>
                <w:sz w:val="16"/>
              </w:rPr>
              <w:t>21,120</w:t>
            </w:r>
          </w:p>
        </w:tc>
      </w:tr>
      <w:tr>
        <w:trPr>
          <w:cantSplit/>
        </w:trPr>
        <w:tc>
          <w:tcPr>
            <w:tcW w:type="dxa" w:w="2041"/>
            <w:vAlign w:val="center"/>
          </w:tcPr>
          <w:p>
            <w:pPr>
              <w:spacing w:after="40" w:before="20" w:line="240" w:lineRule="auto"/>
              <w:ind w:firstLine="0"/>
            </w:pPr>
            <w:r>
              <w:rPr>
                <w:rFonts w:ascii="Times New Roman" w:hAnsi="Times New Roman"/>
                <w:sz w:val="16"/>
              </w:rPr>
              <w:t>Difference from WorldPop</w:t>
            </w:r>
          </w:p>
        </w:tc>
        <w:tc>
          <w:tcPr>
            <w:tcW w:type="dxa" w:w="1426"/>
            <w:vAlign w:val="center"/>
          </w:tcPr>
          <w:p>
            <w:pPr>
              <w:spacing w:after="40" w:before="20" w:line="240" w:lineRule="auto"/>
              <w:ind w:firstLine="0"/>
            </w:pPr>
            <w:r>
              <w:rPr>
                <w:rFonts w:ascii="Times New Roman" w:hAnsi="Times New Roman"/>
                <w:sz w:val="16"/>
              </w:rPr>
              <w:t>Reference</w:t>
            </w:r>
          </w:p>
        </w:tc>
        <w:tc>
          <w:tcPr>
            <w:tcW w:type="dxa" w:w="1426"/>
            <w:vAlign w:val="center"/>
          </w:tcPr>
          <w:p>
            <w:pPr>
              <w:spacing w:after="40" w:before="20" w:line="240" w:lineRule="auto"/>
              <w:ind w:firstLine="0"/>
            </w:pPr>
            <w:r>
              <w:rPr>
                <w:rFonts w:ascii="Times New Roman" w:hAnsi="Times New Roman"/>
                <w:sz w:val="16"/>
              </w:rPr>
              <w:t>−21.40%</w:t>
            </w:r>
          </w:p>
        </w:tc>
      </w:tr>
    </w:tbl>
    <w:p>
      <w:pPr>
        <w:spacing w:after="0"/>
      </w:pPr>
    </w:p>
    <w:p>
      <w:pPr>
        <w:jc w:val="both"/>
      </w:pPr>
      <w:r>
        <w:t>The common geoBoundaries mask yields 43.30 million inhabitants in WorldPop and 34.03 million in GHS-POP (Table III). Aggregation conserves each selected raster total to numerical precision. The common five-kilometre count comparison has Pearson correlation 0.8714 and Spearman correlation 0.9305, while the sum of absolute cell-count differences is 23.90 million. High spatial association therefore coexists with substantial disagreement in total and local magnitude; neither product is established as ground truth by these statistics.</w:t>
      </w:r>
    </w:p>
    <w:p>
      <w:pPr>
        <w:jc w:val="both"/>
      </w:pPr>
      <w:r>
        <w:t>Using COD-AB with the same WorldPop raster and pixel-centre rule gives 43,227,817.80, reproducing the approximately 43.23 million total in the original manuscript. The geoBoundaries total is 74,313.94 higher, or 0.17% relative to COD-AB. This boundary comparison is an additional count audit, not a second execution of every road optimization. It separates a modest mask effect on the regional total from the much larger population-product difference. Boundary changes can still have locally important effects that the aggregate percentage conceals.</w:t>
      </w:r>
    </w:p>
    <w:p>
      <w:pPr>
        <w:jc w:val="both"/>
      </w:pPr>
      <w:r>
        <w:t>At the retained hub coordinates, GHS-SMOD identifies 21 urban-centre cells, four dense-urban-cluster cells (Inongo, Nioki, Mushie, and Kutu), and one very-low-density rural cell (Mangai). The last result can reflect point position and classification resolution; it is not a claim that Mangai lacks urban functions. WorldPop demand assigned by cell-centre sampling to the GHS-SMOD urban-centre class totals 15.31 million. This cross-product overlay is descriptive and does not measure an official metropolitan population. Small assignments to the water class also reveal alignment or model inconsistencies and should not be interpreted as confirmed residence on open water.</w:t>
      </w:r>
    </w:p>
    <w:p>
      <w:pPr>
        <w:pStyle w:val="Heading2"/>
        <w:ind w:firstLine="0"/>
        <w:jc w:val="left"/>
      </w:pPr>
      <w:r>
        <w:t>B. Mapped Road Reachability</w:t>
      </w:r>
    </w:p>
    <w:p>
      <w:pPr>
        <w:jc w:val="both"/>
      </w:pPr>
      <w:r>
        <w:t>The main road graph contains 106,892 features, 1,734,033 vertices, 3,594,763 directed arcs, and 1,273 weak components. Including tracks produces 147,365 features, 2,518,218 vertices, 5,187,173 arcs, and 2,779 weak components. The larger component count partly reflects additional disconnected track features; it does not imply that adding tracks reduces connectivity. Geometry vertices are computational routing nodes, not inhabited localities or intersections verified in the field.</w:t>
      </w:r>
    </w:p>
    <w:p>
      <w:pPr>
        <w:keepNext/>
        <w:ind w:firstLine="0"/>
        <w:jc w:val="center"/>
      </w:pPr>
      <w:r>
        <w:rPr>
          <w:sz w:val="16"/>
        </w:rPr>
        <w:t>TABLE IV</w:t>
        <w:br/>
        <w:t>WORLDPOP ACCESS TO ALL 26 EXISTING HUBS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417"/>
        <w:gridCol w:w="1134"/>
        <w:gridCol w:w="1171"/>
        <w:gridCol w:w="1171"/>
      </w:tblGrid>
      <w:tr>
        <w:trPr>
          <w:cantSplit/>
          <w:tblHeader/>
        </w:trPr>
        <w:tc>
          <w:tcPr>
            <w:tcW w:type="dxa" w:w="1417"/>
            <w:vAlign w:val="center"/>
          </w:tcPr>
          <w:p>
            <w:pPr>
              <w:keepNext/>
              <w:spacing w:after="40" w:before="20" w:line="240" w:lineRule="auto"/>
              <w:ind w:firstLine="0"/>
            </w:pPr>
            <w:r>
              <w:rPr>
                <w:rFonts w:ascii="Times New Roman" w:hAnsi="Times New Roman"/>
                <w:b/>
                <w:sz w:val="16"/>
              </w:rPr>
              <w:t>Road set</w:t>
            </w:r>
          </w:p>
        </w:tc>
        <w:tc>
          <w:tcPr>
            <w:tcW w:type="dxa" w:w="1134"/>
            <w:vAlign w:val="center"/>
          </w:tcPr>
          <w:p>
            <w:pPr>
              <w:keepNext/>
              <w:spacing w:after="40" w:before="20" w:line="240" w:lineRule="auto"/>
              <w:ind w:firstLine="0"/>
            </w:pPr>
            <w:r>
              <w:rPr>
                <w:rFonts w:ascii="Times New Roman" w:hAnsi="Times New Roman"/>
                <w:b/>
                <w:sz w:val="16"/>
              </w:rPr>
              <w:t>Connector km</w:t>
            </w:r>
          </w:p>
        </w:tc>
        <w:tc>
          <w:tcPr>
            <w:tcW w:type="dxa" w:w="1171"/>
            <w:vAlign w:val="center"/>
          </w:tcPr>
          <w:p>
            <w:pPr>
              <w:keepNext/>
              <w:spacing w:after="40" w:before="20" w:line="240" w:lineRule="auto"/>
              <w:ind w:firstLine="0"/>
            </w:pPr>
            <w:r>
              <w:rPr>
                <w:rFonts w:ascii="Times New Roman" w:hAnsi="Times New Roman"/>
                <w:b/>
                <w:sz w:val="16"/>
              </w:rPr>
              <w:t>Reachable %</w:t>
            </w:r>
          </w:p>
        </w:tc>
        <w:tc>
          <w:tcPr>
            <w:tcW w:type="dxa" w:w="1171"/>
            <w:vAlign w:val="center"/>
          </w:tcPr>
          <w:p>
            <w:pPr>
              <w:keepNext/>
              <w:spacing w:after="40" w:before="20" w:line="240" w:lineRule="auto"/>
              <w:ind w:firstLine="0"/>
            </w:pPr>
            <w:r>
              <w:rPr>
                <w:rFonts w:ascii="Times New Roman" w:hAnsi="Times New Roman"/>
                <w:b/>
                <w:sz w:val="16"/>
              </w:rPr>
              <w:t>≤100 km %</w:t>
            </w:r>
          </w:p>
        </w:tc>
      </w:tr>
      <w:tr>
        <w:trPr>
          <w:cantSplit/>
        </w:trPr>
        <w:tc>
          <w:tcPr>
            <w:tcW w:type="dxa" w:w="1417"/>
            <w:vAlign w:val="center"/>
          </w:tcPr>
          <w:p>
            <w:pPr>
              <w:keepNext/>
              <w:spacing w:after="40" w:before="20" w:line="240" w:lineRule="auto"/>
              <w:ind w:firstLine="0"/>
            </w:pPr>
            <w:r>
              <w:rPr>
                <w:rFonts w:ascii="Times New Roman" w:hAnsi="Times New Roman"/>
                <w:sz w:val="16"/>
              </w:rPr>
              <w:t>Main</w:t>
            </w:r>
          </w:p>
        </w:tc>
        <w:tc>
          <w:tcPr>
            <w:tcW w:type="dxa" w:w="1134"/>
            <w:vAlign w:val="center"/>
          </w:tcPr>
          <w:p>
            <w:pPr>
              <w:keepNext/>
              <w:spacing w:after="40" w:before="20" w:line="240" w:lineRule="auto"/>
              <w:ind w:firstLine="0"/>
            </w:pPr>
            <w:r>
              <w:rPr>
                <w:rFonts w:ascii="Times New Roman" w:hAnsi="Times New Roman"/>
                <w:sz w:val="16"/>
              </w:rPr>
              <w:t>1</w:t>
            </w:r>
          </w:p>
        </w:tc>
        <w:tc>
          <w:tcPr>
            <w:tcW w:type="dxa" w:w="1171"/>
            <w:vAlign w:val="center"/>
          </w:tcPr>
          <w:p>
            <w:pPr>
              <w:keepNext/>
              <w:spacing w:after="40" w:before="20" w:line="240" w:lineRule="auto"/>
              <w:ind w:firstLine="0"/>
            </w:pPr>
            <w:r>
              <w:rPr>
                <w:rFonts w:ascii="Times New Roman" w:hAnsi="Times New Roman"/>
                <w:sz w:val="16"/>
              </w:rPr>
              <w:t>78.49</w:t>
            </w:r>
          </w:p>
        </w:tc>
        <w:tc>
          <w:tcPr>
            <w:tcW w:type="dxa" w:w="1171"/>
            <w:vAlign w:val="center"/>
          </w:tcPr>
          <w:p>
            <w:pPr>
              <w:keepNext/>
              <w:spacing w:after="40" w:before="20" w:line="240" w:lineRule="auto"/>
              <w:ind w:firstLine="0"/>
            </w:pPr>
            <w:r>
              <w:rPr>
                <w:rFonts w:ascii="Times New Roman" w:hAnsi="Times New Roman"/>
                <w:sz w:val="16"/>
              </w:rPr>
              <w:t>55.59</w:t>
            </w:r>
          </w:p>
        </w:tc>
      </w:tr>
      <w:tr>
        <w:trPr>
          <w:cantSplit/>
        </w:trPr>
        <w:tc>
          <w:tcPr>
            <w:tcW w:type="dxa" w:w="1417"/>
            <w:vAlign w:val="center"/>
          </w:tcPr>
          <w:p>
            <w:pPr>
              <w:keepNext/>
              <w:spacing w:after="40" w:before="20" w:line="240" w:lineRule="auto"/>
              <w:ind w:firstLine="0"/>
            </w:pPr>
            <w:r>
              <w:rPr>
                <w:rFonts w:ascii="Times New Roman" w:hAnsi="Times New Roman"/>
                <w:sz w:val="16"/>
              </w:rPr>
              <w:t>Main</w:t>
            </w:r>
          </w:p>
        </w:tc>
        <w:tc>
          <w:tcPr>
            <w:tcW w:type="dxa" w:w="1134"/>
            <w:vAlign w:val="center"/>
          </w:tcPr>
          <w:p>
            <w:pPr>
              <w:keepNext/>
              <w:spacing w:after="40" w:before="20" w:line="240" w:lineRule="auto"/>
              <w:ind w:firstLine="0"/>
            </w:pPr>
            <w:r>
              <w:rPr>
                <w:rFonts w:ascii="Times New Roman" w:hAnsi="Times New Roman"/>
                <w:sz w:val="16"/>
              </w:rPr>
              <w:t>2.5</w:t>
            </w:r>
          </w:p>
        </w:tc>
        <w:tc>
          <w:tcPr>
            <w:tcW w:type="dxa" w:w="1171"/>
            <w:vAlign w:val="center"/>
          </w:tcPr>
          <w:p>
            <w:pPr>
              <w:keepNext/>
              <w:spacing w:after="40" w:before="20" w:line="240" w:lineRule="auto"/>
              <w:ind w:firstLine="0"/>
            </w:pPr>
            <w:r>
              <w:rPr>
                <w:rFonts w:ascii="Times New Roman" w:hAnsi="Times New Roman"/>
                <w:sz w:val="16"/>
              </w:rPr>
              <w:t>82.03</w:t>
            </w:r>
          </w:p>
        </w:tc>
        <w:tc>
          <w:tcPr>
            <w:tcW w:type="dxa" w:w="1171"/>
            <w:vAlign w:val="center"/>
          </w:tcPr>
          <w:p>
            <w:pPr>
              <w:keepNext/>
              <w:spacing w:after="40" w:before="20" w:line="240" w:lineRule="auto"/>
              <w:ind w:firstLine="0"/>
            </w:pPr>
            <w:r>
              <w:rPr>
                <w:rFonts w:ascii="Times New Roman" w:hAnsi="Times New Roman"/>
                <w:sz w:val="16"/>
              </w:rPr>
              <w:t>58.11</w:t>
            </w:r>
          </w:p>
        </w:tc>
      </w:tr>
      <w:tr>
        <w:trPr>
          <w:cantSplit/>
        </w:trPr>
        <w:tc>
          <w:tcPr>
            <w:tcW w:type="dxa" w:w="1417"/>
            <w:vAlign w:val="center"/>
          </w:tcPr>
          <w:p>
            <w:pPr>
              <w:keepNext/>
              <w:spacing w:after="40" w:before="20" w:line="240" w:lineRule="auto"/>
              <w:ind w:firstLine="0"/>
            </w:pPr>
            <w:r>
              <w:rPr>
                <w:rFonts w:ascii="Times New Roman" w:hAnsi="Times New Roman"/>
                <w:sz w:val="16"/>
              </w:rPr>
              <w:t>Main</w:t>
            </w:r>
          </w:p>
        </w:tc>
        <w:tc>
          <w:tcPr>
            <w:tcW w:type="dxa" w:w="1134"/>
            <w:vAlign w:val="center"/>
          </w:tcPr>
          <w:p>
            <w:pPr>
              <w:keepNext/>
              <w:spacing w:after="40" w:before="20" w:line="240" w:lineRule="auto"/>
              <w:ind w:firstLine="0"/>
            </w:pPr>
            <w:r>
              <w:rPr>
                <w:rFonts w:ascii="Times New Roman" w:hAnsi="Times New Roman"/>
                <w:sz w:val="16"/>
              </w:rPr>
              <w:t>5</w:t>
            </w:r>
          </w:p>
        </w:tc>
        <w:tc>
          <w:tcPr>
            <w:tcW w:type="dxa" w:w="1171"/>
            <w:vAlign w:val="center"/>
          </w:tcPr>
          <w:p>
            <w:pPr>
              <w:keepNext/>
              <w:spacing w:after="40" w:before="20" w:line="240" w:lineRule="auto"/>
              <w:ind w:firstLine="0"/>
            </w:pPr>
            <w:r>
              <w:rPr>
                <w:rFonts w:ascii="Times New Roman" w:hAnsi="Times New Roman"/>
                <w:sz w:val="16"/>
              </w:rPr>
              <w:t>84.95</w:t>
            </w:r>
          </w:p>
        </w:tc>
        <w:tc>
          <w:tcPr>
            <w:tcW w:type="dxa" w:w="1171"/>
            <w:vAlign w:val="center"/>
          </w:tcPr>
          <w:p>
            <w:pPr>
              <w:keepNext/>
              <w:spacing w:after="40" w:before="20" w:line="240" w:lineRule="auto"/>
              <w:ind w:firstLine="0"/>
            </w:pPr>
            <w:r>
              <w:rPr>
                <w:rFonts w:ascii="Times New Roman" w:hAnsi="Times New Roman"/>
                <w:sz w:val="16"/>
              </w:rPr>
              <w:t>59.37</w:t>
            </w:r>
          </w:p>
        </w:tc>
      </w:tr>
      <w:tr>
        <w:trPr>
          <w:cantSplit/>
        </w:trPr>
        <w:tc>
          <w:tcPr>
            <w:tcW w:type="dxa" w:w="1417"/>
            <w:vAlign w:val="center"/>
          </w:tcPr>
          <w:p>
            <w:pPr>
              <w:keepNext/>
              <w:spacing w:after="40" w:before="20" w:line="240" w:lineRule="auto"/>
              <w:ind w:firstLine="0"/>
            </w:pPr>
            <w:r>
              <w:rPr>
                <w:rFonts w:ascii="Times New Roman" w:hAnsi="Times New Roman"/>
                <w:sz w:val="16"/>
              </w:rPr>
              <w:t>+ tracks</w:t>
            </w:r>
          </w:p>
        </w:tc>
        <w:tc>
          <w:tcPr>
            <w:tcW w:type="dxa" w:w="1134"/>
            <w:vAlign w:val="center"/>
          </w:tcPr>
          <w:p>
            <w:pPr>
              <w:keepNext/>
              <w:spacing w:after="40" w:before="20" w:line="240" w:lineRule="auto"/>
              <w:ind w:firstLine="0"/>
            </w:pPr>
            <w:r>
              <w:rPr>
                <w:rFonts w:ascii="Times New Roman" w:hAnsi="Times New Roman"/>
                <w:sz w:val="16"/>
              </w:rPr>
              <w:t>1</w:t>
            </w:r>
          </w:p>
        </w:tc>
        <w:tc>
          <w:tcPr>
            <w:tcW w:type="dxa" w:w="1171"/>
            <w:vAlign w:val="center"/>
          </w:tcPr>
          <w:p>
            <w:pPr>
              <w:keepNext/>
              <w:spacing w:after="40" w:before="20" w:line="240" w:lineRule="auto"/>
              <w:ind w:firstLine="0"/>
            </w:pPr>
            <w:r>
              <w:rPr>
                <w:rFonts w:ascii="Times New Roman" w:hAnsi="Times New Roman"/>
                <w:sz w:val="16"/>
              </w:rPr>
              <w:t>81.44</w:t>
            </w:r>
          </w:p>
        </w:tc>
        <w:tc>
          <w:tcPr>
            <w:tcW w:type="dxa" w:w="1171"/>
            <w:vAlign w:val="center"/>
          </w:tcPr>
          <w:p>
            <w:pPr>
              <w:keepNext/>
              <w:spacing w:after="40" w:before="20" w:line="240" w:lineRule="auto"/>
              <w:ind w:firstLine="0"/>
            </w:pPr>
            <w:r>
              <w:rPr>
                <w:rFonts w:ascii="Times New Roman" w:hAnsi="Times New Roman"/>
                <w:sz w:val="16"/>
              </w:rPr>
              <w:t>57.59</w:t>
            </w:r>
          </w:p>
        </w:tc>
      </w:tr>
      <w:tr>
        <w:trPr>
          <w:cantSplit/>
        </w:trPr>
        <w:tc>
          <w:tcPr>
            <w:tcW w:type="dxa" w:w="1417"/>
            <w:vAlign w:val="center"/>
          </w:tcPr>
          <w:p>
            <w:pPr>
              <w:keepNext/>
              <w:spacing w:after="40" w:before="20" w:line="240" w:lineRule="auto"/>
              <w:ind w:firstLine="0"/>
            </w:pPr>
            <w:r>
              <w:rPr>
                <w:rFonts w:ascii="Times New Roman" w:hAnsi="Times New Roman"/>
                <w:sz w:val="16"/>
              </w:rPr>
              <w:t>+ tracks</w:t>
            </w:r>
          </w:p>
        </w:tc>
        <w:tc>
          <w:tcPr>
            <w:tcW w:type="dxa" w:w="1134"/>
            <w:vAlign w:val="center"/>
          </w:tcPr>
          <w:p>
            <w:pPr>
              <w:keepNext/>
              <w:spacing w:after="40" w:before="20" w:line="240" w:lineRule="auto"/>
              <w:ind w:firstLine="0"/>
            </w:pPr>
            <w:r>
              <w:rPr>
                <w:rFonts w:ascii="Times New Roman" w:hAnsi="Times New Roman"/>
                <w:sz w:val="16"/>
              </w:rPr>
              <w:t>2.5</w:t>
            </w:r>
          </w:p>
        </w:tc>
        <w:tc>
          <w:tcPr>
            <w:tcW w:type="dxa" w:w="1171"/>
            <w:vAlign w:val="center"/>
          </w:tcPr>
          <w:p>
            <w:pPr>
              <w:keepNext/>
              <w:spacing w:after="40" w:before="20" w:line="240" w:lineRule="auto"/>
              <w:ind w:firstLine="0"/>
            </w:pPr>
            <w:r>
              <w:rPr>
                <w:rFonts w:ascii="Times New Roman" w:hAnsi="Times New Roman"/>
                <w:sz w:val="16"/>
              </w:rPr>
              <w:t>84.16</w:t>
            </w:r>
          </w:p>
        </w:tc>
        <w:tc>
          <w:tcPr>
            <w:tcW w:type="dxa" w:w="1171"/>
            <w:vAlign w:val="center"/>
          </w:tcPr>
          <w:p>
            <w:pPr>
              <w:keepNext/>
              <w:spacing w:after="40" w:before="20" w:line="240" w:lineRule="auto"/>
              <w:ind w:firstLine="0"/>
            </w:pPr>
            <w:r>
              <w:rPr>
                <w:rFonts w:ascii="Times New Roman" w:hAnsi="Times New Roman"/>
                <w:sz w:val="16"/>
              </w:rPr>
              <w:t>59.07</w:t>
            </w:r>
          </w:p>
        </w:tc>
      </w:tr>
      <w:tr>
        <w:trPr>
          <w:cantSplit/>
        </w:trPr>
        <w:tc>
          <w:tcPr>
            <w:tcW w:type="dxa" w:w="1417"/>
            <w:vAlign w:val="center"/>
          </w:tcPr>
          <w:p>
            <w:pPr>
              <w:spacing w:after="40" w:before="20" w:line="240" w:lineRule="auto"/>
              <w:ind w:firstLine="0"/>
            </w:pPr>
            <w:r>
              <w:rPr>
                <w:rFonts w:ascii="Times New Roman" w:hAnsi="Times New Roman"/>
                <w:sz w:val="16"/>
              </w:rPr>
              <w:t>+ tracks</w:t>
            </w:r>
          </w:p>
        </w:tc>
        <w:tc>
          <w:tcPr>
            <w:tcW w:type="dxa" w:w="1134"/>
            <w:vAlign w:val="center"/>
          </w:tcPr>
          <w:p>
            <w:pPr>
              <w:spacing w:after="40" w:before="20" w:line="240" w:lineRule="auto"/>
              <w:ind w:firstLine="0"/>
            </w:pPr>
            <w:r>
              <w:rPr>
                <w:rFonts w:ascii="Times New Roman" w:hAnsi="Times New Roman"/>
                <w:sz w:val="16"/>
              </w:rPr>
              <w:t>5</w:t>
            </w:r>
          </w:p>
        </w:tc>
        <w:tc>
          <w:tcPr>
            <w:tcW w:type="dxa" w:w="1171"/>
            <w:vAlign w:val="center"/>
          </w:tcPr>
          <w:p>
            <w:pPr>
              <w:spacing w:after="40" w:before="20" w:line="240" w:lineRule="auto"/>
              <w:ind w:firstLine="0"/>
            </w:pPr>
            <w:r>
              <w:rPr>
                <w:rFonts w:ascii="Times New Roman" w:hAnsi="Times New Roman"/>
                <w:sz w:val="16"/>
              </w:rPr>
              <w:t>86.16</w:t>
            </w:r>
          </w:p>
        </w:tc>
        <w:tc>
          <w:tcPr>
            <w:tcW w:type="dxa" w:w="1171"/>
            <w:vAlign w:val="center"/>
          </w:tcPr>
          <w:p>
            <w:pPr>
              <w:spacing w:after="40" w:before="20" w:line="240" w:lineRule="auto"/>
              <w:ind w:firstLine="0"/>
            </w:pPr>
            <w:r>
              <w:rPr>
                <w:rFonts w:ascii="Times New Roman" w:hAnsi="Times New Roman"/>
                <w:sz w:val="16"/>
              </w:rPr>
              <w:t>59.90</w:t>
            </w:r>
          </w:p>
        </w:tc>
      </w:tr>
    </w:tbl>
    <w:p>
      <w:pPr>
        <w:spacing w:after="0"/>
      </w:pPr>
    </w:p>
    <w:p>
      <w:pPr>
        <w:jc w:val="both"/>
      </w:pPr>
      <w:r>
        <w:t>Under the main-road, five-kilometre connector condition, 84.95% of WorldPop population can reach some candidate hub through the graph. Another 11.18% attaches to a vertex but lacks a directed path to an eligible hub; 3.86% fails attachment. Population within 100 km of any of the 26 candidates is 59.37%. The mean distance of reachable demand is 79.82 km, but this conditional mean excludes unreachable demand and must not be reported as the mean journey of all regional inhabitants.</w:t>
      </w:r>
    </w:p>
    <w:p>
      <w:pPr>
        <w:jc w:val="both"/>
      </w:pPr>
      <w:r>
        <w:t>The one-kilometre connector condition excludes Mangai as an eligible main-road hub because its nearest retained vertex is approximately 1.85 km away. Increasing the attachment threshold therefore changes both demand eligibility and facility eligibility. The pattern illustrates why an off-network rule is part of the model, not a harmless preprocessing option. Roads omitted from mapping, functional river connections, routes through neighbouring provinces, and seasonal operability could all alter these reachability results. “Unreachable in this graph” is the appropriate interpretation, rather than “physically isolated.”</w:t>
      </w:r>
    </w:p>
    <w:p>
      <w:pPr>
        <w:pStyle w:val="Heading2"/>
        <w:ind w:firstLine="0"/>
        <w:jc w:val="left"/>
      </w:pPr>
      <w:r>
        <w:t>C. Existing-Hub Coverage and Joint Sensitivity</w:t>
      </w:r>
    </w:p>
    <w:p>
      <w:pPr>
        <w:keepNext/>
        <w:ind w:firstLine="0"/>
        <w:jc w:val="center"/>
      </w:pPr>
      <w:r>
        <w:rPr>
          <w:sz w:val="16"/>
        </w:rPr>
        <w:t>TABLE V</w:t>
        <w:br/>
        <w:t>BASELINE OPTIMIZED COVERAGE WITHIN 100 KM</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680"/>
        <w:gridCol w:w="2106"/>
        <w:gridCol w:w="2106"/>
      </w:tblGrid>
      <w:tr>
        <w:trPr>
          <w:cantSplit/>
          <w:tblHeader/>
        </w:trPr>
        <w:tc>
          <w:tcPr>
            <w:tcW w:type="dxa" w:w="680"/>
            <w:vAlign w:val="center"/>
          </w:tcPr>
          <w:p>
            <w:pPr>
              <w:keepNext/>
              <w:spacing w:after="40" w:before="20" w:line="240" w:lineRule="auto"/>
              <w:ind w:firstLine="0"/>
            </w:pPr>
            <w:r>
              <w:rPr>
                <w:rFonts w:ascii="Times New Roman" w:hAnsi="Times New Roman"/>
                <w:b/>
                <w:sz w:val="16"/>
              </w:rPr>
              <w:t>p</w:t>
            </w:r>
          </w:p>
        </w:tc>
        <w:tc>
          <w:tcPr>
            <w:tcW w:type="dxa" w:w="2106"/>
            <w:vAlign w:val="center"/>
          </w:tcPr>
          <w:p>
            <w:pPr>
              <w:keepNext/>
              <w:spacing w:after="40" w:before="20" w:line="240" w:lineRule="auto"/>
              <w:ind w:firstLine="0"/>
            </w:pPr>
            <w:r>
              <w:rPr>
                <w:rFonts w:ascii="Times New Roman" w:hAnsi="Times New Roman"/>
                <w:b/>
                <w:sz w:val="16"/>
              </w:rPr>
              <w:t>WorldPop %</w:t>
            </w:r>
          </w:p>
        </w:tc>
        <w:tc>
          <w:tcPr>
            <w:tcW w:type="dxa" w:w="2106"/>
            <w:vAlign w:val="center"/>
          </w:tcPr>
          <w:p>
            <w:pPr>
              <w:keepNext/>
              <w:spacing w:after="40" w:before="20" w:line="240" w:lineRule="auto"/>
              <w:ind w:firstLine="0"/>
            </w:pPr>
            <w:r>
              <w:rPr>
                <w:rFonts w:ascii="Times New Roman" w:hAnsi="Times New Roman"/>
                <w:b/>
                <w:sz w:val="16"/>
              </w:rPr>
              <w:t>GHS-POP %</w:t>
            </w:r>
          </w:p>
        </w:tc>
      </w:tr>
      <w:tr>
        <w:trPr>
          <w:cantSplit/>
        </w:trPr>
        <w:tc>
          <w:tcPr>
            <w:tcW w:type="dxa" w:w="680"/>
            <w:vAlign w:val="center"/>
          </w:tcPr>
          <w:p>
            <w:pPr>
              <w:keepNext/>
              <w:spacing w:after="40" w:before="20" w:line="240" w:lineRule="auto"/>
              <w:ind w:firstLine="0"/>
            </w:pPr>
            <w:r>
              <w:rPr>
                <w:rFonts w:ascii="Times New Roman" w:hAnsi="Times New Roman"/>
                <w:sz w:val="16"/>
              </w:rPr>
              <w:t>5</w:t>
            </w:r>
          </w:p>
        </w:tc>
        <w:tc>
          <w:tcPr>
            <w:tcW w:type="dxa" w:w="2106"/>
            <w:vAlign w:val="center"/>
          </w:tcPr>
          <w:p>
            <w:pPr>
              <w:keepNext/>
              <w:spacing w:after="40" w:before="20" w:line="240" w:lineRule="auto"/>
              <w:ind w:firstLine="0"/>
            </w:pPr>
            <w:r>
              <w:rPr>
                <w:rFonts w:ascii="Times New Roman" w:hAnsi="Times New Roman"/>
                <w:sz w:val="16"/>
              </w:rPr>
              <w:t>40.00</w:t>
            </w:r>
          </w:p>
        </w:tc>
        <w:tc>
          <w:tcPr>
            <w:tcW w:type="dxa" w:w="2106"/>
            <w:vAlign w:val="center"/>
          </w:tcPr>
          <w:p>
            <w:pPr>
              <w:keepNext/>
              <w:spacing w:after="40" w:before="20" w:line="240" w:lineRule="auto"/>
              <w:ind w:firstLine="0"/>
            </w:pPr>
            <w:r>
              <w:rPr>
                <w:rFonts w:ascii="Times New Roman" w:hAnsi="Times New Roman"/>
                <w:sz w:val="16"/>
              </w:rPr>
              <w:t>54.95</w:t>
            </w:r>
          </w:p>
        </w:tc>
      </w:tr>
      <w:tr>
        <w:trPr>
          <w:cantSplit/>
        </w:trPr>
        <w:tc>
          <w:tcPr>
            <w:tcW w:type="dxa" w:w="680"/>
            <w:vAlign w:val="center"/>
          </w:tcPr>
          <w:p>
            <w:pPr>
              <w:keepNext/>
              <w:spacing w:after="40" w:before="20" w:line="240" w:lineRule="auto"/>
              <w:ind w:firstLine="0"/>
            </w:pPr>
            <w:r>
              <w:rPr>
                <w:rFonts w:ascii="Times New Roman" w:hAnsi="Times New Roman"/>
                <w:sz w:val="16"/>
              </w:rPr>
              <w:t>10</w:t>
            </w:r>
          </w:p>
        </w:tc>
        <w:tc>
          <w:tcPr>
            <w:tcW w:type="dxa" w:w="2106"/>
            <w:vAlign w:val="center"/>
          </w:tcPr>
          <w:p>
            <w:pPr>
              <w:keepNext/>
              <w:spacing w:after="40" w:before="20" w:line="240" w:lineRule="auto"/>
              <w:ind w:firstLine="0"/>
            </w:pPr>
            <w:r>
              <w:rPr>
                <w:rFonts w:ascii="Times New Roman" w:hAnsi="Times New Roman"/>
                <w:sz w:val="16"/>
              </w:rPr>
              <w:t>50.97</w:t>
            </w:r>
          </w:p>
        </w:tc>
        <w:tc>
          <w:tcPr>
            <w:tcW w:type="dxa" w:w="2106"/>
            <w:vAlign w:val="center"/>
          </w:tcPr>
          <w:p>
            <w:pPr>
              <w:keepNext/>
              <w:spacing w:after="40" w:before="20" w:line="240" w:lineRule="auto"/>
              <w:ind w:firstLine="0"/>
            </w:pPr>
            <w:r>
              <w:rPr>
                <w:rFonts w:ascii="Times New Roman" w:hAnsi="Times New Roman"/>
                <w:sz w:val="16"/>
              </w:rPr>
              <w:t>62.70</w:t>
            </w:r>
          </w:p>
        </w:tc>
      </w:tr>
      <w:tr>
        <w:trPr>
          <w:cantSplit/>
        </w:trPr>
        <w:tc>
          <w:tcPr>
            <w:tcW w:type="dxa" w:w="680"/>
            <w:vAlign w:val="center"/>
          </w:tcPr>
          <w:p>
            <w:pPr>
              <w:spacing w:after="40" w:before="20" w:line="240" w:lineRule="auto"/>
              <w:ind w:firstLine="0"/>
            </w:pPr>
            <w:r>
              <w:rPr>
                <w:rFonts w:ascii="Times New Roman" w:hAnsi="Times New Roman"/>
                <w:sz w:val="16"/>
              </w:rPr>
              <w:t>15</w:t>
            </w:r>
          </w:p>
        </w:tc>
        <w:tc>
          <w:tcPr>
            <w:tcW w:type="dxa" w:w="2106"/>
            <w:vAlign w:val="center"/>
          </w:tcPr>
          <w:p>
            <w:pPr>
              <w:spacing w:after="40" w:before="20" w:line="240" w:lineRule="auto"/>
              <w:ind w:firstLine="0"/>
            </w:pPr>
            <w:r>
              <w:rPr>
                <w:rFonts w:ascii="Times New Roman" w:hAnsi="Times New Roman"/>
                <w:sz w:val="16"/>
              </w:rPr>
              <w:t>56.38</w:t>
            </w:r>
          </w:p>
        </w:tc>
        <w:tc>
          <w:tcPr>
            <w:tcW w:type="dxa" w:w="2106"/>
            <w:vAlign w:val="center"/>
          </w:tcPr>
          <w:p>
            <w:pPr>
              <w:spacing w:after="40" w:before="20" w:line="240" w:lineRule="auto"/>
              <w:ind w:firstLine="0"/>
            </w:pPr>
            <w:r>
              <w:rPr>
                <w:rFonts w:ascii="Times New Roman" w:hAnsi="Times New Roman"/>
                <w:sz w:val="16"/>
              </w:rPr>
              <w:t>66.19</w:t>
            </w:r>
          </w:p>
        </w:tc>
      </w:tr>
    </w:tbl>
    <w:p>
      <w:pPr>
        <w:spacing w:after="0"/>
      </w:pPr>
    </w:p>
    <w:p>
      <w:pPr>
        <w:jc w:val="both"/>
      </w:pPr>
      <w:r>
        <w:t>The baseline uses one-kilometre cells, main roads, five-kilometre connectors, and no deliberate removal or displacement. Ten selected hubs cover 50.97% of WorldPop population but 62.70% of GHS-POP population (Table V; Fig. 2). The 11.73 percentage-point difference remains after holding these model choices constant. Coverage with all 26 hubs is 59.37% for WorldPop and 68.15% for GHS-POP. These ceilings concern the fixed candidate set, distance threshold, and road graph, not a national maximum achievable through infrastructure investment.</w:t>
      </w:r>
    </w:p>
    <w:p>
      <w:pPr>
        <w:keepNext/>
        <w:ind w:firstLine="0"/>
        <w:jc w:val="center"/>
      </w:pPr>
      <w:r>
        <w:drawing>
          <wp:inline xmlns:a="http://schemas.openxmlformats.org/drawingml/2006/main" xmlns:pic="http://schemas.openxmlformats.org/drawingml/2006/picture">
            <wp:extent cx="3074400" cy="2287500"/>
            <wp:docPr id="2" name="Picture 2"/>
            <wp:cNvGraphicFramePr>
              <a:graphicFrameLocks noChangeAspect="1"/>
            </wp:cNvGraphicFramePr>
            <a:graphic>
              <a:graphicData uri="http://schemas.openxmlformats.org/drawingml/2006/picture">
                <pic:pic>
                  <pic:nvPicPr>
                    <pic:cNvPr id="0" name="fig3_coverage.png"/>
                    <pic:cNvPicPr/>
                  </pic:nvPicPr>
                  <pic:blipFill>
                    <a:blip r:embed="rId12"/>
                    <a:stretch>
                      <a:fillRect/>
                    </a:stretch>
                  </pic:blipFill>
                  <pic:spPr>
                    <a:xfrm>
                      <a:off x="0" y="0"/>
                      <a:ext cx="3074400" cy="2287500"/>
                    </a:xfrm>
                    <a:prstGeom prst="rect"/>
                  </pic:spPr>
                </pic:pic>
              </a:graphicData>
            </a:graphic>
          </wp:inline>
        </w:drawing>
      </w:r>
    </w:p>
    <w:p>
      <w:pPr>
        <w:keepLines/>
        <w:ind w:firstLine="0"/>
      </w:pPr>
      <w:r>
        <w:rPr>
          <w:sz w:val="16"/>
        </w:rPr>
        <w:t>Fig. 2. Baseline maximal coverage for two population products. Main roads, 1-km demand cells, connectors ≤5 km, and no deliberate perturbation. Percentages use each product’s own regional total.</w:t>
      </w:r>
    </w:p>
    <w:p>
      <w:pPr>
        <w:jc w:val="both"/>
      </w:pPr>
      <w:r>
        <w:t>One WorldPop optimum for p = 5 selects Kinshasa, Mbanza-Ngungu, Tshela, Kikwit, and Gemena. For p = 10, one optimum selects Kinshasa, Matadi, Boma, Mbanza-Ngungu, Tshela, Kenge, Idiofa, Bulungu, Bumba, and Gemena. The selected identities are examples of optimal solutions to a coverage problem; they are not a priority list for public construction. Multiple solutions may attain the same objective, and the fixed candidate set does not contain every locality or potential service location. An optimality gap of zero cannot resolve these planning limitations.</w:t>
      </w:r>
    </w:p>
    <w:p>
      <w:pPr>
        <w:keepNext/>
        <w:ind w:firstLine="0"/>
        <w:jc w:val="center"/>
      </w:pPr>
      <w:r>
        <w:rPr>
          <w:sz w:val="16"/>
        </w:rPr>
        <w:t>TABLE VI</w:t>
        <w:br/>
        <w:t>JOINT SCENARIO ENVELOPES: 96 CONFIGURATIONS PER P</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624"/>
        <w:gridCol w:w="1423"/>
        <w:gridCol w:w="1423"/>
        <w:gridCol w:w="1423"/>
      </w:tblGrid>
      <w:tr>
        <w:trPr>
          <w:cantSplit/>
          <w:tblHeader/>
        </w:trPr>
        <w:tc>
          <w:tcPr>
            <w:tcW w:type="dxa" w:w="624"/>
            <w:vAlign w:val="center"/>
          </w:tcPr>
          <w:p>
            <w:pPr>
              <w:keepNext/>
              <w:spacing w:after="40" w:before="20" w:line="240" w:lineRule="auto"/>
              <w:ind w:firstLine="0"/>
            </w:pPr>
            <w:r>
              <w:rPr>
                <w:rFonts w:ascii="Times New Roman" w:hAnsi="Times New Roman"/>
                <w:b/>
                <w:sz w:val="16"/>
              </w:rPr>
              <w:t>p</w:t>
            </w:r>
          </w:p>
        </w:tc>
        <w:tc>
          <w:tcPr>
            <w:tcW w:type="dxa" w:w="1423"/>
            <w:vAlign w:val="center"/>
          </w:tcPr>
          <w:p>
            <w:pPr>
              <w:keepNext/>
              <w:spacing w:after="40" w:before="20" w:line="240" w:lineRule="auto"/>
              <w:ind w:firstLine="0"/>
            </w:pPr>
            <w:r>
              <w:rPr>
                <w:rFonts w:ascii="Times New Roman" w:hAnsi="Times New Roman"/>
                <w:b/>
                <w:sz w:val="16"/>
              </w:rPr>
              <w:t>Minimum %</w:t>
            </w:r>
          </w:p>
        </w:tc>
        <w:tc>
          <w:tcPr>
            <w:tcW w:type="dxa" w:w="1423"/>
            <w:vAlign w:val="center"/>
          </w:tcPr>
          <w:p>
            <w:pPr>
              <w:keepNext/>
              <w:spacing w:after="40" w:before="20" w:line="240" w:lineRule="auto"/>
              <w:ind w:firstLine="0"/>
            </w:pPr>
            <w:r>
              <w:rPr>
                <w:rFonts w:ascii="Times New Roman" w:hAnsi="Times New Roman"/>
                <w:b/>
                <w:sz w:val="16"/>
              </w:rPr>
              <w:t>Maximum %</w:t>
            </w:r>
          </w:p>
        </w:tc>
        <w:tc>
          <w:tcPr>
            <w:tcW w:type="dxa" w:w="1423"/>
            <w:vAlign w:val="center"/>
          </w:tcPr>
          <w:p>
            <w:pPr>
              <w:keepNext/>
              <w:spacing w:after="40" w:before="20" w:line="240" w:lineRule="auto"/>
              <w:ind w:firstLine="0"/>
            </w:pPr>
            <w:r>
              <w:rPr>
                <w:rFonts w:ascii="Times New Roman" w:hAnsi="Times New Roman"/>
                <w:b/>
                <w:sz w:val="16"/>
              </w:rPr>
              <w:t>Median %</w:t>
            </w:r>
          </w:p>
        </w:tc>
      </w:tr>
      <w:tr>
        <w:trPr>
          <w:cantSplit/>
        </w:trPr>
        <w:tc>
          <w:tcPr>
            <w:tcW w:type="dxa" w:w="624"/>
            <w:vAlign w:val="center"/>
          </w:tcPr>
          <w:p>
            <w:pPr>
              <w:keepNext/>
              <w:spacing w:after="40" w:before="20" w:line="240" w:lineRule="auto"/>
              <w:ind w:firstLine="0"/>
            </w:pPr>
            <w:r>
              <w:rPr>
                <w:rFonts w:ascii="Times New Roman" w:hAnsi="Times New Roman"/>
                <w:sz w:val="16"/>
              </w:rPr>
              <w:t>5</w:t>
            </w:r>
          </w:p>
        </w:tc>
        <w:tc>
          <w:tcPr>
            <w:tcW w:type="dxa" w:w="1423"/>
            <w:vAlign w:val="center"/>
          </w:tcPr>
          <w:p>
            <w:pPr>
              <w:keepNext/>
              <w:spacing w:after="40" w:before="20" w:line="240" w:lineRule="auto"/>
              <w:ind w:firstLine="0"/>
            </w:pPr>
            <w:r>
              <w:rPr>
                <w:rFonts w:ascii="Times New Roman" w:hAnsi="Times New Roman"/>
                <w:sz w:val="16"/>
              </w:rPr>
              <w:t>33.51</w:t>
            </w:r>
          </w:p>
        </w:tc>
        <w:tc>
          <w:tcPr>
            <w:tcW w:type="dxa" w:w="1423"/>
            <w:vAlign w:val="center"/>
          </w:tcPr>
          <w:p>
            <w:pPr>
              <w:keepNext/>
              <w:spacing w:after="40" w:before="20" w:line="240" w:lineRule="auto"/>
              <w:ind w:firstLine="0"/>
            </w:pPr>
            <w:r>
              <w:rPr>
                <w:rFonts w:ascii="Times New Roman" w:hAnsi="Times New Roman"/>
                <w:sz w:val="16"/>
              </w:rPr>
              <w:t>55.17</w:t>
            </w:r>
          </w:p>
        </w:tc>
        <w:tc>
          <w:tcPr>
            <w:tcW w:type="dxa" w:w="1423"/>
            <w:vAlign w:val="center"/>
          </w:tcPr>
          <w:p>
            <w:pPr>
              <w:keepNext/>
              <w:spacing w:after="40" w:before="20" w:line="240" w:lineRule="auto"/>
              <w:ind w:firstLine="0"/>
            </w:pPr>
            <w:r>
              <w:rPr>
                <w:rFonts w:ascii="Times New Roman" w:hAnsi="Times New Roman"/>
                <w:sz w:val="16"/>
              </w:rPr>
              <w:t>44.91</w:t>
            </w:r>
          </w:p>
        </w:tc>
      </w:tr>
      <w:tr>
        <w:trPr>
          <w:cantSplit/>
        </w:trPr>
        <w:tc>
          <w:tcPr>
            <w:tcW w:type="dxa" w:w="624"/>
            <w:vAlign w:val="center"/>
          </w:tcPr>
          <w:p>
            <w:pPr>
              <w:keepNext/>
              <w:spacing w:after="40" w:before="20" w:line="240" w:lineRule="auto"/>
              <w:ind w:firstLine="0"/>
            </w:pPr>
            <w:r>
              <w:rPr>
                <w:rFonts w:ascii="Times New Roman" w:hAnsi="Times New Roman"/>
                <w:sz w:val="16"/>
              </w:rPr>
              <w:t>10</w:t>
            </w:r>
          </w:p>
        </w:tc>
        <w:tc>
          <w:tcPr>
            <w:tcW w:type="dxa" w:w="1423"/>
            <w:vAlign w:val="center"/>
          </w:tcPr>
          <w:p>
            <w:pPr>
              <w:keepNext/>
              <w:spacing w:after="40" w:before="20" w:line="240" w:lineRule="auto"/>
              <w:ind w:firstLine="0"/>
            </w:pPr>
            <w:r>
              <w:rPr>
                <w:rFonts w:ascii="Times New Roman" w:hAnsi="Times New Roman"/>
                <w:sz w:val="16"/>
              </w:rPr>
              <w:t>40.40</w:t>
            </w:r>
          </w:p>
        </w:tc>
        <w:tc>
          <w:tcPr>
            <w:tcW w:type="dxa" w:w="1423"/>
            <w:vAlign w:val="center"/>
          </w:tcPr>
          <w:p>
            <w:pPr>
              <w:keepNext/>
              <w:spacing w:after="40" w:before="20" w:line="240" w:lineRule="auto"/>
              <w:ind w:firstLine="0"/>
            </w:pPr>
            <w:r>
              <w:rPr>
                <w:rFonts w:ascii="Times New Roman" w:hAnsi="Times New Roman"/>
                <w:sz w:val="16"/>
              </w:rPr>
              <w:t>63.35</w:t>
            </w:r>
          </w:p>
        </w:tc>
        <w:tc>
          <w:tcPr>
            <w:tcW w:type="dxa" w:w="1423"/>
            <w:vAlign w:val="center"/>
          </w:tcPr>
          <w:p>
            <w:pPr>
              <w:keepNext/>
              <w:spacing w:after="40" w:before="20" w:line="240" w:lineRule="auto"/>
              <w:ind w:firstLine="0"/>
            </w:pPr>
            <w:r>
              <w:rPr>
                <w:rFonts w:ascii="Times New Roman" w:hAnsi="Times New Roman"/>
                <w:sz w:val="16"/>
              </w:rPr>
              <w:t>53.46</w:t>
            </w:r>
          </w:p>
        </w:tc>
      </w:tr>
      <w:tr>
        <w:trPr>
          <w:cantSplit/>
        </w:trPr>
        <w:tc>
          <w:tcPr>
            <w:tcW w:type="dxa" w:w="624"/>
            <w:vAlign w:val="center"/>
          </w:tcPr>
          <w:p>
            <w:pPr>
              <w:spacing w:after="40" w:before="20" w:line="240" w:lineRule="auto"/>
              <w:ind w:firstLine="0"/>
            </w:pPr>
            <w:r>
              <w:rPr>
                <w:rFonts w:ascii="Times New Roman" w:hAnsi="Times New Roman"/>
                <w:sz w:val="16"/>
              </w:rPr>
              <w:t>15</w:t>
            </w:r>
          </w:p>
        </w:tc>
        <w:tc>
          <w:tcPr>
            <w:tcW w:type="dxa" w:w="1423"/>
            <w:vAlign w:val="center"/>
          </w:tcPr>
          <w:p>
            <w:pPr>
              <w:spacing w:after="40" w:before="20" w:line="240" w:lineRule="auto"/>
              <w:ind w:firstLine="0"/>
            </w:pPr>
            <w:r>
              <w:rPr>
                <w:rFonts w:ascii="Times New Roman" w:hAnsi="Times New Roman"/>
                <w:sz w:val="16"/>
              </w:rPr>
              <w:t>44.10</w:t>
            </w:r>
          </w:p>
        </w:tc>
        <w:tc>
          <w:tcPr>
            <w:tcW w:type="dxa" w:w="1423"/>
            <w:vAlign w:val="center"/>
          </w:tcPr>
          <w:p>
            <w:pPr>
              <w:spacing w:after="40" w:before="20" w:line="240" w:lineRule="auto"/>
              <w:ind w:firstLine="0"/>
            </w:pPr>
            <w:r>
              <w:rPr>
                <w:rFonts w:ascii="Times New Roman" w:hAnsi="Times New Roman"/>
                <w:sz w:val="16"/>
              </w:rPr>
              <w:t>67.16</w:t>
            </w:r>
          </w:p>
        </w:tc>
        <w:tc>
          <w:tcPr>
            <w:tcW w:type="dxa" w:w="1423"/>
            <w:vAlign w:val="center"/>
          </w:tcPr>
          <w:p>
            <w:pPr>
              <w:spacing w:after="40" w:before="20" w:line="240" w:lineRule="auto"/>
              <w:ind w:firstLine="0"/>
            </w:pPr>
            <w:r>
              <w:rPr>
                <w:rFonts w:ascii="Times New Roman" w:hAnsi="Times New Roman"/>
                <w:sz w:val="16"/>
              </w:rPr>
              <w:t>57.31</w:t>
            </w:r>
          </w:p>
        </w:tc>
      </w:tr>
    </w:tbl>
    <w:p>
      <w:pPr>
        <w:spacing w:after="0"/>
      </w:pPr>
    </w:p>
    <w:p>
      <w:pPr>
        <w:jc w:val="both"/>
      </w:pPr>
      <w:r>
        <w:t>All 288 optimizations terminate with solver status zero and reported MIP gap zero; recomputed coverage agrees with the solved objective. Joint scenario ranges are wide (Table VI). The median is merely the median of the equally enumerated configurations; it is not the expected real-world outcome. Treating every configuration equally in this descriptive summary does not supply a probabilistic prior for product correctness or network incompleteness. The complete run table preserves factor levels and denominators so individual assumptions can be inspected.</w:t>
      </w:r>
    </w:p>
    <w:p>
      <w:pPr>
        <w:jc w:val="both"/>
      </w:pPr>
      <w:r>
        <w:t>Increasing p from five to ten raises baseline WorldPop coverage by 10.97 percentage points, and increasing it from ten to fifteen adds 5.41 points. GHS-POP gains are 7.75 and 3.49 points. These diminishing increments support a discussion of saturation for the chosen service-distance model. They do not establish p = 10 as the best investment count, because no budget, facility capacity, or benefit valuation enters the objective. Unlike the legacy median problem, this model also retains demand that no eligible facility can cover.</w:t>
      </w:r>
    </w:p>
    <w:p>
      <w:pPr>
        <w:pStyle w:val="Heading2"/>
        <w:ind w:firstLine="0"/>
        <w:jc w:val="left"/>
      </w:pPr>
      <w:r>
        <w:t>D. Synthetic-Graph Centrality and Median Audit</w:t>
      </w:r>
    </w:p>
    <w:p>
      <w:pPr>
        <w:keepNext/>
        <w:ind w:firstLine="0"/>
        <w:jc w:val="center"/>
      </w:pPr>
      <w:r>
        <w:drawing>
          <wp:inline xmlns:a="http://schemas.openxmlformats.org/drawingml/2006/main" xmlns:pic="http://schemas.openxmlformats.org/drawingml/2006/picture">
            <wp:extent cx="3074400" cy="2150250"/>
            <wp:docPr id="3" name="Picture 3"/>
            <wp:cNvGraphicFramePr>
              <a:graphicFrameLocks noChangeAspect="1"/>
            </wp:cNvGraphicFramePr>
            <a:graphic>
              <a:graphicData uri="http://schemas.openxmlformats.org/drawingml/2006/picture">
                <pic:pic>
                  <pic:nvPicPr>
                    <pic:cNvPr id="0" name="fig2_topology.png"/>
                    <pic:cNvPicPr/>
                  </pic:nvPicPr>
                  <pic:blipFill>
                    <a:blip r:embed="rId13"/>
                    <a:stretch>
                      <a:fillRect/>
                    </a:stretch>
                  </pic:blipFill>
                  <pic:spPr>
                    <a:xfrm>
                      <a:off x="0" y="0"/>
                      <a:ext cx="3074400" cy="2150250"/>
                    </a:xfrm>
                    <a:prstGeom prst="rect"/>
                  </pic:spPr>
                </pic:pic>
              </a:graphicData>
            </a:graphic>
          </wp:inline>
        </w:drawing>
      </w:r>
    </w:p>
    <w:p>
      <w:pPr>
        <w:keepLines/>
        <w:ind w:firstLine="0"/>
      </w:pPr>
      <w:r>
        <w:rPr>
          <w:sz w:val="16"/>
        </w:rPr>
        <w:t>Fig. 3. Betweenness ranks of Kenge and Bandundu change when the synthetic graph is rebuilt. Lower rank numbers indicate higher betweenness. These are graph-model rankings, not measured corridor functions.</w:t>
      </w:r>
    </w:p>
    <w:p>
      <w:pPr>
        <w:keepNext/>
        <w:ind w:firstLine="0"/>
        <w:jc w:val="center"/>
      </w:pPr>
      <w:r>
        <w:rPr>
          <w:sz w:val="16"/>
        </w:rPr>
        <w:t>TABLE VII</w:t>
        <w:br/>
        <w:t>SELECTED TOPOLOGY DIAGNOSTICS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2324"/>
        <w:gridCol w:w="737"/>
        <w:gridCol w:w="1020"/>
        <w:gridCol w:w="811"/>
      </w:tblGrid>
      <w:tr>
        <w:trPr>
          <w:cantSplit/>
          <w:tblHeader/>
        </w:trPr>
        <w:tc>
          <w:tcPr>
            <w:tcW w:type="dxa" w:w="2324"/>
            <w:vAlign w:val="center"/>
          </w:tcPr>
          <w:p>
            <w:pPr>
              <w:keepNext/>
              <w:spacing w:after="40" w:before="20" w:line="240" w:lineRule="auto"/>
              <w:ind w:firstLine="0"/>
            </w:pPr>
            <w:r>
              <w:rPr>
                <w:rFonts w:ascii="Times New Roman" w:hAnsi="Times New Roman"/>
                <w:b/>
                <w:sz w:val="16"/>
              </w:rPr>
              <w:t>Topology</w:t>
            </w:r>
          </w:p>
        </w:tc>
        <w:tc>
          <w:tcPr>
            <w:tcW w:type="dxa" w:w="737"/>
            <w:vAlign w:val="center"/>
          </w:tcPr>
          <w:p>
            <w:pPr>
              <w:keepNext/>
              <w:spacing w:after="40" w:before="20" w:line="240" w:lineRule="auto"/>
              <w:ind w:firstLine="0"/>
            </w:pPr>
            <w:r>
              <w:rPr>
                <w:rFonts w:ascii="Times New Roman" w:hAnsi="Times New Roman"/>
                <w:b/>
                <w:sz w:val="16"/>
              </w:rPr>
              <w:t>Edges</w:t>
            </w:r>
          </w:p>
        </w:tc>
        <w:tc>
          <w:tcPr>
            <w:tcW w:type="dxa" w:w="1020"/>
            <w:vAlign w:val="center"/>
          </w:tcPr>
          <w:p>
            <w:r>
              <w:rPr>
                <w:rFonts w:ascii="Times New Roman" w:hAnsi="Times New Roman"/>
                <w:b/>
                <w:sz w:val="16"/>
              </w:rPr>
              <w:t>Comps.</w:t>
            </w:r>
          </w:p>
        </w:tc>
        <w:tc>
          <w:tcPr>
            <w:tcW w:type="dxa" w:w="811"/>
            <w:vAlign w:val="center"/>
          </w:tcPr>
          <w:p>
            <w:pPr>
              <w:keepNext/>
              <w:spacing w:after="40" w:before="20" w:line="240" w:lineRule="auto"/>
              <w:ind w:firstLine="0"/>
            </w:pPr>
            <w:r>
              <w:rPr>
                <w:rFonts w:ascii="Times New Roman" w:hAnsi="Times New Roman"/>
                <w:b/>
                <w:sz w:val="16"/>
              </w:rPr>
              <w:t>Isolates</w:t>
            </w:r>
          </w:p>
        </w:tc>
      </w:tr>
      <w:tr>
        <w:trPr>
          <w:cantSplit/>
        </w:trPr>
        <w:tc>
          <w:tcPr>
            <w:tcW w:type="dxa" w:w="2324"/>
            <w:vAlign w:val="center"/>
          </w:tcPr>
          <w:p>
            <w:pPr>
              <w:keepNext/>
              <w:spacing w:after="40" w:before="20" w:line="240" w:lineRule="auto"/>
              <w:ind w:firstLine="0"/>
            </w:pPr>
            <w:r>
              <w:rPr>
                <w:rFonts w:ascii="Times New Roman" w:hAnsi="Times New Roman"/>
                <w:sz w:val="16"/>
              </w:rPr>
              <w:t>MST + 1 neighbour</w:t>
            </w:r>
          </w:p>
        </w:tc>
        <w:tc>
          <w:tcPr>
            <w:tcW w:type="dxa" w:w="737"/>
            <w:vAlign w:val="center"/>
          </w:tcPr>
          <w:p>
            <w:pPr>
              <w:keepNext/>
              <w:spacing w:after="40" w:before="20" w:line="240" w:lineRule="auto"/>
              <w:ind w:firstLine="0"/>
            </w:pPr>
            <w:r>
              <w:rPr>
                <w:rFonts w:ascii="Times New Roman" w:hAnsi="Times New Roman"/>
                <w:sz w:val="16"/>
              </w:rPr>
              <w:t>25</w:t>
            </w:r>
          </w:p>
        </w:tc>
        <w:tc>
          <w:tcPr>
            <w:tcW w:type="dxa" w:w="1020"/>
            <w:vAlign w:val="center"/>
          </w:tcPr>
          <w:p>
            <w:pPr>
              <w:keepNext/>
              <w:spacing w:after="40" w:before="20" w:line="240" w:lineRule="auto"/>
              <w:ind w:firstLine="0"/>
            </w:pPr>
            <w:r>
              <w:rPr>
                <w:rFonts w:ascii="Times New Roman" w:hAnsi="Times New Roman"/>
                <w:sz w:val="16"/>
              </w:rPr>
              <w:t>1</w:t>
            </w:r>
          </w:p>
        </w:tc>
        <w:tc>
          <w:tcPr>
            <w:tcW w:type="dxa" w:w="811"/>
            <w:vAlign w:val="center"/>
          </w:tcPr>
          <w:p>
            <w:pPr>
              <w:keepNext/>
              <w:spacing w:after="40" w:before="20" w:line="240" w:lineRule="auto"/>
              <w:ind w:firstLine="0"/>
            </w:pPr>
            <w:r>
              <w:rPr>
                <w:rFonts w:ascii="Times New Roman" w:hAnsi="Times New Roman"/>
                <w:sz w:val="16"/>
              </w:rPr>
              <w:t>0</w:t>
            </w:r>
          </w:p>
        </w:tc>
      </w:tr>
      <w:tr>
        <w:trPr>
          <w:cantSplit/>
        </w:trPr>
        <w:tc>
          <w:tcPr>
            <w:tcW w:type="dxa" w:w="2324"/>
            <w:vAlign w:val="center"/>
          </w:tcPr>
          <w:p>
            <w:pPr>
              <w:keepNext/>
              <w:spacing w:after="40" w:before="20" w:line="240" w:lineRule="auto"/>
              <w:ind w:firstLine="0"/>
            </w:pPr>
            <w:r>
              <w:rPr>
                <w:rFonts w:ascii="Times New Roman" w:hAnsi="Times New Roman"/>
                <w:sz w:val="16"/>
              </w:rPr>
              <w:t>MST + 3 neighbours</w:t>
            </w:r>
          </w:p>
        </w:tc>
        <w:tc>
          <w:tcPr>
            <w:tcW w:type="dxa" w:w="737"/>
            <w:vAlign w:val="center"/>
          </w:tcPr>
          <w:p>
            <w:pPr>
              <w:keepNext/>
              <w:spacing w:after="40" w:before="20" w:line="240" w:lineRule="auto"/>
              <w:ind w:firstLine="0"/>
            </w:pPr>
            <w:r>
              <w:rPr>
                <w:rFonts w:ascii="Times New Roman" w:hAnsi="Times New Roman"/>
                <w:sz w:val="16"/>
              </w:rPr>
              <w:t>49</w:t>
            </w:r>
          </w:p>
        </w:tc>
        <w:tc>
          <w:tcPr>
            <w:tcW w:type="dxa" w:w="1020"/>
            <w:vAlign w:val="center"/>
          </w:tcPr>
          <w:p>
            <w:pPr>
              <w:keepNext/>
              <w:spacing w:after="40" w:before="20" w:line="240" w:lineRule="auto"/>
              <w:ind w:firstLine="0"/>
            </w:pPr>
            <w:r>
              <w:rPr>
                <w:rFonts w:ascii="Times New Roman" w:hAnsi="Times New Roman"/>
                <w:sz w:val="16"/>
              </w:rPr>
              <w:t>1</w:t>
            </w:r>
          </w:p>
        </w:tc>
        <w:tc>
          <w:tcPr>
            <w:tcW w:type="dxa" w:w="811"/>
            <w:vAlign w:val="center"/>
          </w:tcPr>
          <w:p>
            <w:pPr>
              <w:keepNext/>
              <w:spacing w:after="40" w:before="20" w:line="240" w:lineRule="auto"/>
              <w:ind w:firstLine="0"/>
            </w:pPr>
            <w:r>
              <w:rPr>
                <w:rFonts w:ascii="Times New Roman" w:hAnsi="Times New Roman"/>
                <w:sz w:val="16"/>
              </w:rPr>
              <w:t>0</w:t>
            </w:r>
          </w:p>
        </w:tc>
      </w:tr>
      <w:tr>
        <w:trPr>
          <w:cantSplit/>
        </w:trPr>
        <w:tc>
          <w:tcPr>
            <w:tcW w:type="dxa" w:w="2324"/>
            <w:vAlign w:val="center"/>
          </w:tcPr>
          <w:p>
            <w:pPr>
              <w:keepNext/>
              <w:spacing w:after="40" w:before="20" w:line="240" w:lineRule="auto"/>
              <w:ind w:firstLine="0"/>
            </w:pPr>
            <w:r>
              <w:rPr>
                <w:rFonts w:ascii="Times New Roman" w:hAnsi="Times New Roman"/>
                <w:sz w:val="16"/>
              </w:rPr>
              <w:t>MST + 5 neighbours</w:t>
            </w:r>
          </w:p>
        </w:tc>
        <w:tc>
          <w:tcPr>
            <w:tcW w:type="dxa" w:w="737"/>
            <w:vAlign w:val="center"/>
          </w:tcPr>
          <w:p>
            <w:pPr>
              <w:keepNext/>
              <w:spacing w:after="40" w:before="20" w:line="240" w:lineRule="auto"/>
              <w:ind w:firstLine="0"/>
            </w:pPr>
            <w:r>
              <w:rPr>
                <w:rFonts w:ascii="Times New Roman" w:hAnsi="Times New Roman"/>
                <w:sz w:val="16"/>
              </w:rPr>
              <w:t>74</w:t>
            </w:r>
          </w:p>
        </w:tc>
        <w:tc>
          <w:tcPr>
            <w:tcW w:type="dxa" w:w="1020"/>
            <w:vAlign w:val="center"/>
          </w:tcPr>
          <w:p>
            <w:pPr>
              <w:keepNext/>
              <w:spacing w:after="40" w:before="20" w:line="240" w:lineRule="auto"/>
              <w:ind w:firstLine="0"/>
            </w:pPr>
            <w:r>
              <w:rPr>
                <w:rFonts w:ascii="Times New Roman" w:hAnsi="Times New Roman"/>
                <w:sz w:val="16"/>
              </w:rPr>
              <w:t>1</w:t>
            </w:r>
          </w:p>
        </w:tc>
        <w:tc>
          <w:tcPr>
            <w:tcW w:type="dxa" w:w="811"/>
            <w:vAlign w:val="center"/>
          </w:tcPr>
          <w:p>
            <w:pPr>
              <w:keepNext/>
              <w:spacing w:after="40" w:before="20" w:line="240" w:lineRule="auto"/>
              <w:ind w:firstLine="0"/>
            </w:pPr>
            <w:r>
              <w:rPr>
                <w:rFonts w:ascii="Times New Roman" w:hAnsi="Times New Roman"/>
                <w:sz w:val="16"/>
              </w:rPr>
              <w:t>0</w:t>
            </w:r>
          </w:p>
        </w:tc>
      </w:tr>
      <w:tr>
        <w:trPr>
          <w:cantSplit/>
        </w:trPr>
        <w:tc>
          <w:tcPr>
            <w:tcW w:type="dxa" w:w="2324"/>
            <w:vAlign w:val="center"/>
          </w:tcPr>
          <w:p>
            <w:pPr>
              <w:keepNext/>
              <w:spacing w:after="40" w:before="20" w:line="240" w:lineRule="auto"/>
              <w:ind w:firstLine="0"/>
            </w:pPr>
            <w:r>
              <w:rPr>
                <w:rFonts w:ascii="Times New Roman" w:hAnsi="Times New Roman"/>
                <w:sz w:val="16"/>
              </w:rPr>
              <w:t>Radius 40 km</w:t>
            </w:r>
          </w:p>
        </w:tc>
        <w:tc>
          <w:tcPr>
            <w:tcW w:type="dxa" w:w="737"/>
            <w:vAlign w:val="center"/>
          </w:tcPr>
          <w:p>
            <w:pPr>
              <w:keepNext/>
              <w:spacing w:after="40" w:before="20" w:line="240" w:lineRule="auto"/>
              <w:ind w:firstLine="0"/>
            </w:pPr>
            <w:r>
              <w:rPr>
                <w:rFonts w:ascii="Times New Roman" w:hAnsi="Times New Roman"/>
                <w:sz w:val="16"/>
              </w:rPr>
              <w:t>2</w:t>
            </w:r>
          </w:p>
        </w:tc>
        <w:tc>
          <w:tcPr>
            <w:tcW w:type="dxa" w:w="1020"/>
            <w:vAlign w:val="center"/>
          </w:tcPr>
          <w:p>
            <w:pPr>
              <w:keepNext/>
              <w:spacing w:after="40" w:before="20" w:line="240" w:lineRule="auto"/>
              <w:ind w:firstLine="0"/>
            </w:pPr>
            <w:r>
              <w:rPr>
                <w:rFonts w:ascii="Times New Roman" w:hAnsi="Times New Roman"/>
                <w:sz w:val="16"/>
              </w:rPr>
              <w:t>24</w:t>
            </w:r>
          </w:p>
        </w:tc>
        <w:tc>
          <w:tcPr>
            <w:tcW w:type="dxa" w:w="811"/>
            <w:vAlign w:val="center"/>
          </w:tcPr>
          <w:p>
            <w:pPr>
              <w:keepNext/>
              <w:spacing w:after="40" w:before="20" w:line="240" w:lineRule="auto"/>
              <w:ind w:firstLine="0"/>
            </w:pPr>
            <w:r>
              <w:rPr>
                <w:rFonts w:ascii="Times New Roman" w:hAnsi="Times New Roman"/>
                <w:sz w:val="16"/>
              </w:rPr>
              <w:t>22</w:t>
            </w:r>
          </w:p>
        </w:tc>
      </w:tr>
      <w:tr>
        <w:trPr>
          <w:cantSplit/>
        </w:trPr>
        <w:tc>
          <w:tcPr>
            <w:tcW w:type="dxa" w:w="2324"/>
            <w:vAlign w:val="center"/>
          </w:tcPr>
          <w:p>
            <w:pPr>
              <w:keepNext/>
              <w:spacing w:after="40" w:before="20" w:line="240" w:lineRule="auto"/>
              <w:ind w:firstLine="0"/>
            </w:pPr>
            <w:r>
              <w:rPr>
                <w:rFonts w:ascii="Times New Roman" w:hAnsi="Times New Roman"/>
                <w:sz w:val="16"/>
              </w:rPr>
              <w:t>Radius 50 km</w:t>
            </w:r>
          </w:p>
        </w:tc>
        <w:tc>
          <w:tcPr>
            <w:tcW w:type="dxa" w:w="737"/>
            <w:vAlign w:val="center"/>
          </w:tcPr>
          <w:p>
            <w:pPr>
              <w:keepNext/>
              <w:spacing w:after="40" w:before="20" w:line="240" w:lineRule="auto"/>
              <w:ind w:firstLine="0"/>
            </w:pPr>
            <w:r>
              <w:rPr>
                <w:rFonts w:ascii="Times New Roman" w:hAnsi="Times New Roman"/>
                <w:sz w:val="16"/>
              </w:rPr>
              <w:t>3</w:t>
            </w:r>
          </w:p>
        </w:tc>
        <w:tc>
          <w:tcPr>
            <w:tcW w:type="dxa" w:w="1020"/>
            <w:vAlign w:val="center"/>
          </w:tcPr>
          <w:p>
            <w:pPr>
              <w:keepNext/>
              <w:spacing w:after="40" w:before="20" w:line="240" w:lineRule="auto"/>
              <w:ind w:firstLine="0"/>
            </w:pPr>
            <w:r>
              <w:rPr>
                <w:rFonts w:ascii="Times New Roman" w:hAnsi="Times New Roman"/>
                <w:sz w:val="16"/>
              </w:rPr>
              <w:t>23</w:t>
            </w:r>
          </w:p>
        </w:tc>
        <w:tc>
          <w:tcPr>
            <w:tcW w:type="dxa" w:w="811"/>
            <w:vAlign w:val="center"/>
          </w:tcPr>
          <w:p>
            <w:pPr>
              <w:keepNext/>
              <w:spacing w:after="40" w:before="20" w:line="240" w:lineRule="auto"/>
              <w:ind w:firstLine="0"/>
            </w:pPr>
            <w:r>
              <w:rPr>
                <w:rFonts w:ascii="Times New Roman" w:hAnsi="Times New Roman"/>
                <w:sz w:val="16"/>
              </w:rPr>
              <w:t>20</w:t>
            </w:r>
          </w:p>
        </w:tc>
      </w:tr>
      <w:tr>
        <w:trPr>
          <w:cantSplit/>
        </w:trPr>
        <w:tc>
          <w:tcPr>
            <w:tcW w:type="dxa" w:w="2324"/>
            <w:vAlign w:val="center"/>
          </w:tcPr>
          <w:p>
            <w:pPr>
              <w:spacing w:after="40" w:before="20" w:line="240" w:lineRule="auto"/>
              <w:ind w:firstLine="0"/>
            </w:pPr>
            <w:r>
              <w:rPr>
                <w:rFonts w:ascii="Times New Roman" w:hAnsi="Times New Roman"/>
                <w:sz w:val="16"/>
              </w:rPr>
              <w:t>Radius 100 km</w:t>
            </w:r>
          </w:p>
        </w:tc>
        <w:tc>
          <w:tcPr>
            <w:tcW w:type="dxa" w:w="737"/>
            <w:vAlign w:val="center"/>
          </w:tcPr>
          <w:p>
            <w:pPr>
              <w:spacing w:after="40" w:before="20" w:line="240" w:lineRule="auto"/>
              <w:ind w:firstLine="0"/>
            </w:pPr>
            <w:r>
              <w:rPr>
                <w:rFonts w:ascii="Times New Roman" w:hAnsi="Times New Roman"/>
                <w:sz w:val="16"/>
              </w:rPr>
              <w:t>16</w:t>
            </w:r>
          </w:p>
        </w:tc>
        <w:tc>
          <w:tcPr>
            <w:tcW w:type="dxa" w:w="1020"/>
            <w:vAlign w:val="center"/>
          </w:tcPr>
          <w:p>
            <w:pPr>
              <w:spacing w:after="40" w:before="20" w:line="240" w:lineRule="auto"/>
              <w:ind w:firstLine="0"/>
            </w:pPr>
            <w:r>
              <w:rPr>
                <w:rFonts w:ascii="Times New Roman" w:hAnsi="Times New Roman"/>
                <w:sz w:val="16"/>
              </w:rPr>
              <w:t>12</w:t>
            </w:r>
          </w:p>
        </w:tc>
        <w:tc>
          <w:tcPr>
            <w:tcW w:type="dxa" w:w="811"/>
            <w:vAlign w:val="center"/>
          </w:tcPr>
          <w:p>
            <w:pPr>
              <w:spacing w:after="40" w:before="20" w:line="240" w:lineRule="auto"/>
              <w:ind w:firstLine="0"/>
            </w:pPr>
            <w:r>
              <w:rPr>
                <w:rFonts w:ascii="Times New Roman" w:hAnsi="Times New Roman"/>
                <w:sz w:val="16"/>
              </w:rPr>
              <w:t>8</w:t>
            </w:r>
          </w:p>
        </w:tc>
      </w:tr>
    </w:tbl>
    <w:p>
      <w:pPr>
        <w:spacing w:after="0"/>
      </w:pPr>
    </w:p>
    <w:p>
      <w:pPr>
        <w:jc w:val="both"/>
      </w:pPr>
      <w:r>
        <w:t>Kenge moves from betweenness rank 1 in MST + 3 to rank 7 in MST + 5; Bandundu moves from rank 2 to rank 14. The whole-node rank correlation between those two configurations is only 0.4275. Radius graphs at 15 and 25 km have no edges; at 100 km there are 12 components and eight isolated nodes, including Kenge and Bandundu. This change falsifies the interpretation of the baseline centrality leaders as topology-independent territorial hinges. The main results therefore do not rely on synthetic-graph centrality to rank regional investments.</w:t>
      </w:r>
    </w:p>
    <w:p>
      <w:pPr>
        <w:jc w:val="both"/>
      </w:pPr>
      <w:r>
        <w:t>Exact optimization confirms the earlier median objective at p = 5, 10, and 15 on its own released inputs: mean distances are 80.44, 28.36, and 12.58 km. However, the buffer weights sum to 7.37 million, only 17.05% of the COD-AB regional total arithmetically; that ratio is not a unique population coverage estimate because buffers can overlap. The earlier distances therefore describe a selected-node demand model, not complete regional accessibility. The expanded p = 2–20 curve meets no eligible elbow under the three-successive-gains-below-5% rule; neither 2% nor 10% alternatives identify one. The claim of an established ten-hub elbow is withdrawn.</w:t>
      </w:r>
    </w:p>
    <w:p>
      <w:pPr>
        <w:keepNext/>
        <w:ind w:firstLine="0"/>
        <w:jc w:val="center"/>
      </w:pPr>
      <w:r>
        <w:drawing>
          <wp:inline xmlns:a="http://schemas.openxmlformats.org/drawingml/2006/main" xmlns:pic="http://schemas.openxmlformats.org/drawingml/2006/picture">
            <wp:extent cx="3074400" cy="2196000"/>
            <wp:docPr id="4" name="Picture 4"/>
            <wp:cNvGraphicFramePr>
              <a:graphicFrameLocks noChangeAspect="1"/>
            </wp:cNvGraphicFramePr>
            <a:graphic>
              <a:graphicData uri="http://schemas.openxmlformats.org/drawingml/2006/picture">
                <pic:pic>
                  <pic:nvPicPr>
                    <pic:cNvPr id="0" name="fig4_pmedian_audit.png"/>
                    <pic:cNvPicPr/>
                  </pic:nvPicPr>
                  <pic:blipFill>
                    <a:blip r:embed="rId14"/>
                    <a:stretch>
                      <a:fillRect/>
                    </a:stretch>
                  </pic:blipFill>
                  <pic:spPr>
                    <a:xfrm>
                      <a:off x="0" y="0"/>
                      <a:ext cx="3074400" cy="2196000"/>
                    </a:xfrm>
                    <a:prstGeom prst="rect"/>
                  </pic:spPr>
                </pic:pic>
              </a:graphicData>
            </a:graphic>
          </wp:inline>
        </w:drawing>
      </w:r>
    </w:p>
    <w:p>
      <w:pPr>
        <w:keepLines/>
        <w:ind w:firstLine="0"/>
      </w:pPr>
      <w:r>
        <w:rPr>
          <w:sz w:val="16"/>
        </w:rPr>
        <w:t>Fig. 4. Exact legacy p-median curve for p = 2–20. Population weights are the original node buffers, not the regional demand grid. No eligible p meets the stated three-successive-gains-below-5% elbow rule.</w:t>
      </w:r>
    </w:p>
    <w:p>
      <w:pPr>
        <w:pStyle w:val="Heading2"/>
        <w:ind w:firstLine="0"/>
        <w:jc w:val="left"/>
      </w:pPr>
      <w:r>
        <w:t>E. Candidate Weight Audit and Environmental Interpretation</w:t>
      </w:r>
    </w:p>
    <w:p>
      <w:pPr>
        <w:keepNext/>
        <w:ind w:firstLine="0"/>
        <w:jc w:val="center"/>
      </w:pPr>
      <w:r>
        <w:rPr>
          <w:sz w:val="16"/>
        </w:rPr>
        <w:t>TABLE VIII</w:t>
        <w:br/>
        <w:t>DOMINANT CANDIDATE UNDER ALTERNATIVE WEIGHT CENTRES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531"/>
        <w:gridCol w:w="1681"/>
        <w:gridCol w:w="1681"/>
      </w:tblGrid>
      <w:tr>
        <w:trPr>
          <w:cantSplit/>
          <w:tblHeader/>
        </w:trPr>
        <w:tc>
          <w:tcPr>
            <w:tcW w:type="dxa" w:w="1531"/>
            <w:vAlign w:val="center"/>
          </w:tcPr>
          <w:p>
            <w:pPr>
              <w:keepNext/>
              <w:spacing w:after="40" w:before="20" w:line="240" w:lineRule="auto"/>
              <w:ind w:firstLine="0"/>
            </w:pPr>
            <w:r>
              <w:rPr>
                <w:rFonts w:ascii="Times New Roman" w:hAnsi="Times New Roman"/>
                <w:b/>
                <w:sz w:val="16"/>
              </w:rPr>
              <w:t>Province</w:t>
            </w:r>
          </w:p>
        </w:tc>
        <w:tc>
          <w:tcPr>
            <w:tcW w:type="dxa" w:w="1681"/>
            <w:vAlign w:val="center"/>
          </w:tcPr>
          <w:p>
            <w:pPr>
              <w:keepNext/>
              <w:spacing w:after="40" w:before="20" w:line="240" w:lineRule="auto"/>
              <w:ind w:firstLine="0"/>
            </w:pPr>
            <w:r>
              <w:rPr>
                <w:rFonts w:ascii="Times New Roman" w:hAnsi="Times New Roman"/>
                <w:b/>
                <w:sz w:val="16"/>
              </w:rPr>
              <w:t>Reference winner (%)</w:t>
            </w:r>
          </w:p>
        </w:tc>
        <w:tc>
          <w:tcPr>
            <w:tcW w:type="dxa" w:w="1681"/>
            <w:vAlign w:val="center"/>
          </w:tcPr>
          <w:p>
            <w:pPr>
              <w:keepNext/>
              <w:spacing w:after="40" w:before="20" w:line="240" w:lineRule="auto"/>
              <w:ind w:firstLine="0"/>
            </w:pPr>
            <w:r>
              <w:rPr>
                <w:rFonts w:ascii="Times New Roman" w:hAnsi="Times New Roman"/>
                <w:b/>
                <w:sz w:val="16"/>
              </w:rPr>
              <w:t>Uniform winner (%)</w:t>
            </w:r>
          </w:p>
        </w:tc>
      </w:tr>
      <w:tr>
        <w:trPr>
          <w:cantSplit/>
        </w:trPr>
        <w:tc>
          <w:tcPr>
            <w:tcW w:type="dxa" w:w="1531"/>
            <w:vAlign w:val="center"/>
          </w:tcPr>
          <w:p>
            <w:pPr>
              <w:keepNext/>
              <w:spacing w:after="40" w:before="20" w:line="240" w:lineRule="auto"/>
              <w:ind w:firstLine="0"/>
            </w:pPr>
            <w:r>
              <w:rPr>
                <w:rFonts w:ascii="Times New Roman" w:hAnsi="Times New Roman"/>
                <w:sz w:val="16"/>
              </w:rPr>
              <w:t>Équateur</w:t>
            </w:r>
          </w:p>
        </w:tc>
        <w:tc>
          <w:tcPr>
            <w:tcW w:type="dxa" w:w="1681"/>
            <w:vAlign w:val="center"/>
          </w:tcPr>
          <w:p>
            <w:pPr>
              <w:keepNext/>
              <w:spacing w:after="40" w:before="20" w:line="240" w:lineRule="auto"/>
              <w:ind w:firstLine="0"/>
            </w:pPr>
            <w:r>
              <w:rPr>
                <w:rFonts w:ascii="Times New Roman" w:hAnsi="Times New Roman"/>
                <w:sz w:val="16"/>
              </w:rPr>
              <w:t>Buanza (49.40)</w:t>
            </w:r>
          </w:p>
        </w:tc>
        <w:tc>
          <w:tcPr>
            <w:tcW w:type="dxa" w:w="1681"/>
            <w:vAlign w:val="center"/>
          </w:tcPr>
          <w:p>
            <w:pPr>
              <w:keepNext/>
              <w:spacing w:after="40" w:before="20" w:line="240" w:lineRule="auto"/>
              <w:ind w:firstLine="0"/>
            </w:pPr>
            <w:r>
              <w:rPr>
                <w:rFonts w:ascii="Times New Roman" w:hAnsi="Times New Roman"/>
                <w:sz w:val="16"/>
              </w:rPr>
              <w:t>Inganda (82.76)</w:t>
            </w:r>
          </w:p>
        </w:tc>
      </w:tr>
      <w:tr>
        <w:trPr>
          <w:cantSplit/>
        </w:trPr>
        <w:tc>
          <w:tcPr>
            <w:tcW w:type="dxa" w:w="1531"/>
            <w:vAlign w:val="center"/>
          </w:tcPr>
          <w:p>
            <w:pPr>
              <w:keepNext/>
              <w:spacing w:after="40" w:before="20" w:line="240" w:lineRule="auto"/>
              <w:ind w:firstLine="0"/>
            </w:pPr>
            <w:r>
              <w:rPr>
                <w:rFonts w:ascii="Times New Roman" w:hAnsi="Times New Roman"/>
                <w:sz w:val="16"/>
              </w:rPr>
              <w:t>Kinshasa</w:t>
            </w:r>
          </w:p>
        </w:tc>
        <w:tc>
          <w:tcPr>
            <w:tcW w:type="dxa" w:w="1681"/>
            <w:vAlign w:val="center"/>
          </w:tcPr>
          <w:p>
            <w:pPr>
              <w:keepNext/>
              <w:spacing w:after="40" w:before="20" w:line="240" w:lineRule="auto"/>
              <w:ind w:firstLine="0"/>
            </w:pPr>
            <w:r>
              <w:rPr>
                <w:rFonts w:ascii="Times New Roman" w:hAnsi="Times New Roman"/>
                <w:sz w:val="16"/>
              </w:rPr>
              <w:t>Komo (72.14)</w:t>
            </w:r>
          </w:p>
        </w:tc>
        <w:tc>
          <w:tcPr>
            <w:tcW w:type="dxa" w:w="1681"/>
            <w:vAlign w:val="center"/>
          </w:tcPr>
          <w:p>
            <w:pPr>
              <w:keepNext/>
              <w:spacing w:after="40" w:before="20" w:line="240" w:lineRule="auto"/>
              <w:ind w:firstLine="0"/>
            </w:pPr>
            <w:r>
              <w:rPr>
                <w:rFonts w:ascii="Times New Roman" w:hAnsi="Times New Roman"/>
                <w:sz w:val="16"/>
              </w:rPr>
              <w:t>Komo (85.90)</w:t>
            </w:r>
          </w:p>
        </w:tc>
      </w:tr>
      <w:tr>
        <w:trPr>
          <w:cantSplit/>
        </w:trPr>
        <w:tc>
          <w:tcPr>
            <w:tcW w:type="dxa" w:w="1531"/>
            <w:vAlign w:val="center"/>
          </w:tcPr>
          <w:p>
            <w:pPr>
              <w:keepNext/>
              <w:spacing w:after="40" w:before="20" w:line="240" w:lineRule="auto"/>
              <w:ind w:firstLine="0"/>
            </w:pPr>
            <w:r>
              <w:rPr>
                <w:rFonts w:ascii="Times New Roman" w:hAnsi="Times New Roman"/>
                <w:sz w:val="16"/>
              </w:rPr>
              <w:t>Kongo Central</w:t>
            </w:r>
          </w:p>
        </w:tc>
        <w:tc>
          <w:tcPr>
            <w:tcW w:type="dxa" w:w="1681"/>
            <w:vAlign w:val="center"/>
          </w:tcPr>
          <w:p>
            <w:pPr>
              <w:keepNext/>
              <w:spacing w:after="40" w:before="20" w:line="240" w:lineRule="auto"/>
              <w:ind w:firstLine="0"/>
            </w:pPr>
            <w:r>
              <w:rPr>
                <w:rFonts w:ascii="Times New Roman" w:hAnsi="Times New Roman"/>
                <w:sz w:val="16"/>
              </w:rPr>
              <w:t>Kimpika (59.98)</w:t>
            </w:r>
          </w:p>
        </w:tc>
        <w:tc>
          <w:tcPr>
            <w:tcW w:type="dxa" w:w="1681"/>
            <w:vAlign w:val="center"/>
          </w:tcPr>
          <w:p>
            <w:pPr>
              <w:keepNext/>
              <w:spacing w:after="40" w:before="20" w:line="240" w:lineRule="auto"/>
              <w:ind w:firstLine="0"/>
            </w:pPr>
            <w:r>
              <w:rPr>
                <w:rFonts w:ascii="Times New Roman" w:hAnsi="Times New Roman"/>
                <w:sz w:val="16"/>
              </w:rPr>
              <w:t>Vemadja (48.74)</w:t>
            </w:r>
          </w:p>
        </w:tc>
      </w:tr>
      <w:tr>
        <w:trPr>
          <w:cantSplit/>
        </w:trPr>
        <w:tc>
          <w:tcPr>
            <w:tcW w:type="dxa" w:w="1531"/>
            <w:vAlign w:val="center"/>
          </w:tcPr>
          <w:p>
            <w:pPr>
              <w:keepNext/>
              <w:spacing w:after="40" w:before="20" w:line="240" w:lineRule="auto"/>
              <w:ind w:firstLine="0"/>
            </w:pPr>
            <w:r>
              <w:rPr>
                <w:rFonts w:ascii="Times New Roman" w:hAnsi="Times New Roman"/>
                <w:sz w:val="16"/>
              </w:rPr>
              <w:t>Kwango</w:t>
            </w:r>
          </w:p>
        </w:tc>
        <w:tc>
          <w:tcPr>
            <w:tcW w:type="dxa" w:w="1681"/>
            <w:vAlign w:val="center"/>
          </w:tcPr>
          <w:p>
            <w:pPr>
              <w:keepNext/>
              <w:spacing w:after="40" w:before="20" w:line="240" w:lineRule="auto"/>
              <w:ind w:firstLine="0"/>
            </w:pPr>
            <w:r>
              <w:rPr>
                <w:rFonts w:ascii="Times New Roman" w:hAnsi="Times New Roman"/>
                <w:sz w:val="16"/>
              </w:rPr>
              <w:t>Fumu-Mashi (95.46)</w:t>
            </w:r>
          </w:p>
        </w:tc>
        <w:tc>
          <w:tcPr>
            <w:tcW w:type="dxa" w:w="1681"/>
            <w:vAlign w:val="center"/>
          </w:tcPr>
          <w:p>
            <w:pPr>
              <w:keepNext/>
              <w:spacing w:after="40" w:before="20" w:line="240" w:lineRule="auto"/>
              <w:ind w:firstLine="0"/>
            </w:pPr>
            <w:r>
              <w:rPr>
                <w:rFonts w:ascii="Times New Roman" w:hAnsi="Times New Roman"/>
                <w:sz w:val="16"/>
              </w:rPr>
              <w:t>Fumu-Mashi (70.60)</w:t>
            </w:r>
          </w:p>
        </w:tc>
      </w:tr>
      <w:tr>
        <w:trPr>
          <w:cantSplit/>
        </w:trPr>
        <w:tc>
          <w:tcPr>
            <w:tcW w:type="dxa" w:w="1531"/>
            <w:vAlign w:val="center"/>
          </w:tcPr>
          <w:p>
            <w:pPr>
              <w:keepNext/>
              <w:spacing w:after="40" w:before="20" w:line="240" w:lineRule="auto"/>
              <w:ind w:firstLine="0"/>
            </w:pPr>
            <w:r>
              <w:rPr>
                <w:rFonts w:ascii="Times New Roman" w:hAnsi="Times New Roman"/>
                <w:sz w:val="16"/>
              </w:rPr>
              <w:t>Kwilu</w:t>
            </w:r>
          </w:p>
        </w:tc>
        <w:tc>
          <w:tcPr>
            <w:tcW w:type="dxa" w:w="1681"/>
            <w:vAlign w:val="center"/>
          </w:tcPr>
          <w:p>
            <w:pPr>
              <w:keepNext/>
              <w:spacing w:after="40" w:before="20" w:line="240" w:lineRule="auto"/>
              <w:ind w:firstLine="0"/>
            </w:pPr>
            <w:r>
              <w:rPr>
                <w:rFonts w:ascii="Times New Roman" w:hAnsi="Times New Roman"/>
                <w:sz w:val="16"/>
              </w:rPr>
              <w:t>Pana (74.10)</w:t>
            </w:r>
          </w:p>
        </w:tc>
        <w:tc>
          <w:tcPr>
            <w:tcW w:type="dxa" w:w="1681"/>
            <w:vAlign w:val="center"/>
          </w:tcPr>
          <w:p>
            <w:pPr>
              <w:keepNext/>
              <w:spacing w:after="40" w:before="20" w:line="240" w:lineRule="auto"/>
              <w:ind w:firstLine="0"/>
            </w:pPr>
            <w:r>
              <w:rPr>
                <w:rFonts w:ascii="Times New Roman" w:hAnsi="Times New Roman"/>
                <w:sz w:val="16"/>
              </w:rPr>
              <w:t>Kiboba (92.00)</w:t>
            </w:r>
          </w:p>
        </w:tc>
      </w:tr>
      <w:tr>
        <w:trPr>
          <w:cantSplit/>
        </w:trPr>
        <w:tc>
          <w:tcPr>
            <w:tcW w:type="dxa" w:w="1531"/>
            <w:vAlign w:val="center"/>
          </w:tcPr>
          <w:p>
            <w:pPr>
              <w:keepNext/>
              <w:spacing w:after="40" w:before="20" w:line="240" w:lineRule="auto"/>
              <w:ind w:firstLine="0"/>
            </w:pPr>
            <w:r>
              <w:rPr>
                <w:rFonts w:ascii="Times New Roman" w:hAnsi="Times New Roman"/>
                <w:sz w:val="16"/>
              </w:rPr>
              <w:t>Maï-Ndombe</w:t>
            </w:r>
          </w:p>
        </w:tc>
        <w:tc>
          <w:tcPr>
            <w:tcW w:type="dxa" w:w="1681"/>
            <w:vAlign w:val="center"/>
          </w:tcPr>
          <w:p>
            <w:pPr>
              <w:keepNext/>
              <w:spacing w:after="40" w:before="20" w:line="240" w:lineRule="auto"/>
              <w:ind w:firstLine="0"/>
            </w:pPr>
            <w:r>
              <w:rPr>
                <w:rFonts w:ascii="Times New Roman" w:hAnsi="Times New Roman"/>
                <w:sz w:val="16"/>
              </w:rPr>
              <w:t>Ebale (98.18)</w:t>
            </w:r>
          </w:p>
        </w:tc>
        <w:tc>
          <w:tcPr>
            <w:tcW w:type="dxa" w:w="1681"/>
            <w:vAlign w:val="center"/>
          </w:tcPr>
          <w:p>
            <w:pPr>
              <w:keepNext/>
              <w:spacing w:after="40" w:before="20" w:line="240" w:lineRule="auto"/>
              <w:ind w:firstLine="0"/>
            </w:pPr>
            <w:r>
              <w:rPr>
                <w:rFonts w:ascii="Times New Roman" w:hAnsi="Times New Roman"/>
                <w:sz w:val="16"/>
              </w:rPr>
              <w:t>Ebale (75.10)</w:t>
            </w:r>
          </w:p>
        </w:tc>
      </w:tr>
      <w:tr>
        <w:trPr>
          <w:cantSplit/>
        </w:trPr>
        <w:tc>
          <w:tcPr>
            <w:tcW w:type="dxa" w:w="1531"/>
            <w:vAlign w:val="center"/>
          </w:tcPr>
          <w:p>
            <w:pPr>
              <w:keepNext/>
              <w:spacing w:after="40" w:before="20" w:line="240" w:lineRule="auto"/>
              <w:ind w:firstLine="0"/>
            </w:pPr>
            <w:r>
              <w:rPr>
                <w:rFonts w:ascii="Times New Roman" w:hAnsi="Times New Roman"/>
                <w:sz w:val="16"/>
              </w:rPr>
              <w:t>Mongala</w:t>
            </w:r>
          </w:p>
        </w:tc>
        <w:tc>
          <w:tcPr>
            <w:tcW w:type="dxa" w:w="1681"/>
            <w:vAlign w:val="center"/>
          </w:tcPr>
          <w:p>
            <w:pPr>
              <w:keepNext/>
              <w:spacing w:after="40" w:before="20" w:line="240" w:lineRule="auto"/>
              <w:ind w:firstLine="0"/>
            </w:pPr>
            <w:r>
              <w:rPr>
                <w:rFonts w:ascii="Times New Roman" w:hAnsi="Times New Roman"/>
                <w:sz w:val="16"/>
              </w:rPr>
              <w:t>Amamba (86.90)</w:t>
            </w:r>
          </w:p>
        </w:tc>
        <w:tc>
          <w:tcPr>
            <w:tcW w:type="dxa" w:w="1681"/>
            <w:vAlign w:val="center"/>
          </w:tcPr>
          <w:p>
            <w:pPr>
              <w:keepNext/>
              <w:spacing w:after="40" w:before="20" w:line="240" w:lineRule="auto"/>
              <w:ind w:firstLine="0"/>
            </w:pPr>
            <w:r>
              <w:rPr>
                <w:rFonts w:ascii="Times New Roman" w:hAnsi="Times New Roman"/>
                <w:sz w:val="16"/>
              </w:rPr>
              <w:t>Amamba (95.38)</w:t>
            </w:r>
          </w:p>
        </w:tc>
      </w:tr>
      <w:tr>
        <w:trPr>
          <w:cantSplit/>
        </w:trPr>
        <w:tc>
          <w:tcPr>
            <w:tcW w:type="dxa" w:w="1531"/>
            <w:vAlign w:val="center"/>
          </w:tcPr>
          <w:p>
            <w:pPr>
              <w:keepNext/>
              <w:spacing w:after="40" w:before="20" w:line="240" w:lineRule="auto"/>
              <w:ind w:firstLine="0"/>
            </w:pPr>
            <w:r>
              <w:rPr>
                <w:rFonts w:ascii="Times New Roman" w:hAnsi="Times New Roman"/>
                <w:sz w:val="16"/>
              </w:rPr>
              <w:t>Nord-Ubangi</w:t>
            </w:r>
          </w:p>
        </w:tc>
        <w:tc>
          <w:tcPr>
            <w:tcW w:type="dxa" w:w="1681"/>
            <w:vAlign w:val="center"/>
          </w:tcPr>
          <w:p>
            <w:pPr>
              <w:keepNext/>
              <w:spacing w:after="40" w:before="20" w:line="240" w:lineRule="auto"/>
              <w:ind w:firstLine="0"/>
            </w:pPr>
            <w:r>
              <w:rPr>
                <w:rFonts w:ascii="Times New Roman" w:hAnsi="Times New Roman"/>
                <w:sz w:val="16"/>
              </w:rPr>
              <w:t>Bale Deuxième (81.68)</w:t>
            </w:r>
          </w:p>
        </w:tc>
        <w:tc>
          <w:tcPr>
            <w:tcW w:type="dxa" w:w="1681"/>
            <w:vAlign w:val="center"/>
          </w:tcPr>
          <w:p>
            <w:pPr>
              <w:keepNext/>
              <w:spacing w:after="40" w:before="20" w:line="240" w:lineRule="auto"/>
              <w:ind w:firstLine="0"/>
            </w:pPr>
            <w:r>
              <w:rPr>
                <w:rFonts w:ascii="Times New Roman" w:hAnsi="Times New Roman"/>
                <w:sz w:val="16"/>
              </w:rPr>
              <w:t>Bale Deuxième (54.66)</w:t>
            </w:r>
          </w:p>
        </w:tc>
      </w:tr>
      <w:tr>
        <w:trPr>
          <w:cantSplit/>
        </w:trPr>
        <w:tc>
          <w:tcPr>
            <w:tcW w:type="dxa" w:w="1531"/>
            <w:vAlign w:val="center"/>
          </w:tcPr>
          <w:p>
            <w:pPr>
              <w:keepNext/>
              <w:spacing w:after="40" w:before="20" w:line="240" w:lineRule="auto"/>
              <w:ind w:firstLine="0"/>
            </w:pPr>
            <w:r>
              <w:rPr>
                <w:rFonts w:ascii="Times New Roman" w:hAnsi="Times New Roman"/>
                <w:sz w:val="16"/>
              </w:rPr>
              <w:t>Sud-Ubangi</w:t>
            </w:r>
          </w:p>
        </w:tc>
        <w:tc>
          <w:tcPr>
            <w:tcW w:type="dxa" w:w="1681"/>
            <w:vAlign w:val="center"/>
          </w:tcPr>
          <w:p>
            <w:pPr>
              <w:keepNext/>
              <w:spacing w:after="40" w:before="20" w:line="240" w:lineRule="auto"/>
              <w:ind w:firstLine="0"/>
            </w:pPr>
            <w:r>
              <w:rPr>
                <w:rFonts w:ascii="Times New Roman" w:hAnsi="Times New Roman"/>
                <w:sz w:val="16"/>
              </w:rPr>
              <w:t>Bwamandema (94.08)</w:t>
            </w:r>
          </w:p>
        </w:tc>
        <w:tc>
          <w:tcPr>
            <w:tcW w:type="dxa" w:w="1681"/>
            <w:vAlign w:val="center"/>
          </w:tcPr>
          <w:p>
            <w:pPr>
              <w:keepNext/>
              <w:spacing w:after="40" w:before="20" w:line="240" w:lineRule="auto"/>
              <w:ind w:firstLine="0"/>
            </w:pPr>
            <w:r>
              <w:rPr>
                <w:rFonts w:ascii="Times New Roman" w:hAnsi="Times New Roman"/>
                <w:sz w:val="16"/>
              </w:rPr>
              <w:t>Bwamandema (99.94)</w:t>
            </w:r>
          </w:p>
        </w:tc>
      </w:tr>
      <w:tr>
        <w:trPr>
          <w:cantSplit/>
        </w:trPr>
        <w:tc>
          <w:tcPr>
            <w:tcW w:type="dxa" w:w="1531"/>
            <w:vAlign w:val="center"/>
          </w:tcPr>
          <w:p>
            <w:pPr>
              <w:spacing w:after="40" w:before="20" w:line="240" w:lineRule="auto"/>
              <w:ind w:firstLine="0"/>
            </w:pPr>
            <w:r>
              <w:rPr>
                <w:rFonts w:ascii="Times New Roman" w:hAnsi="Times New Roman"/>
                <w:sz w:val="16"/>
              </w:rPr>
              <w:t>Tshuapa</w:t>
            </w:r>
          </w:p>
        </w:tc>
        <w:tc>
          <w:tcPr>
            <w:tcW w:type="dxa" w:w="1681"/>
            <w:vAlign w:val="center"/>
          </w:tcPr>
          <w:p>
            <w:pPr>
              <w:spacing w:after="40" w:before="20" w:line="240" w:lineRule="auto"/>
              <w:ind w:firstLine="0"/>
            </w:pPr>
            <w:r>
              <w:rPr>
                <w:rFonts w:ascii="Times New Roman" w:hAnsi="Times New Roman"/>
                <w:sz w:val="16"/>
              </w:rPr>
              <w:t>Yanganga (100)</w:t>
            </w:r>
          </w:p>
        </w:tc>
        <w:tc>
          <w:tcPr>
            <w:tcW w:type="dxa" w:w="1681"/>
            <w:vAlign w:val="center"/>
          </w:tcPr>
          <w:p>
            <w:pPr>
              <w:spacing w:after="40" w:before="20" w:line="240" w:lineRule="auto"/>
              <w:ind w:firstLine="0"/>
            </w:pPr>
            <w:r>
              <w:rPr>
                <w:rFonts w:ascii="Times New Roman" w:hAnsi="Times New Roman"/>
                <w:sz w:val="16"/>
              </w:rPr>
              <w:t>Yanganga (100)</w:t>
            </w:r>
          </w:p>
        </w:tc>
      </w:tr>
    </w:tbl>
    <w:p>
      <w:pPr>
        <w:spacing w:after="0"/>
      </w:pPr>
    </w:p>
    <w:p>
      <w:pPr>
        <w:jc w:val="both"/>
      </w:pPr>
      <w:r>
        <w:t>Uniform rather than reference weight centres change the dominant winner in three provinces: Équateur, Kongo Central, and Kwilu (Table VIII). Frequencies are conditional on the same cached 75-point environmental sample and within-province competition, not on all feasible regional land. The sample contains only three candidates in Équateur, two in Mongala, and one in Tshuapa. Yanganga’s 100% frequency is therefore mechanically guaranteed by the absence of a competitor; it does not demonstrate exceptional site robustness. This distinction corrects an important overinterpretation of the earlier Monte Carlo result.</w:t>
      </w:r>
    </w:p>
    <w:p>
      <w:pPr>
        <w:jc w:val="both"/>
      </w:pPr>
      <w:r>
        <w:t>Neither Yanganga nor Ebale can be described as a validated sovereign hub from these scores. Functional independence would require evidence of productive activity, local processing, employment, energy reliability, service capacity, trade patterns, and institutional arrangements. A proximity score supplies none of these directly. The broader urban planning literature stresses substantive urban functions and governance [31]. The audit is retained to demonstrate how preference choices and candidate availability affect a score, without endorsing those legacy identities. The new conditional allocation in Section III.L uses a different objective and a complete screened candidate grid.</w:t>
      </w:r>
    </w:p>
    <w:p>
      <w:pPr>
        <w:jc w:val="both"/>
      </w:pPr>
      <w:r>
        <w:t>The hydrological flag is now reproducible, but scientific transparency does not make it a flood-risk model. A nearby river can support transport or increase inundation exposure; the sign of its effect depends on terrain, stage, protection, and settlement use. Likewise, the strict tree-cover exclusion can be precautionary without being ecologically precise. A current protected-area mask and an extreme tree-exclusion sensitivity test are now supplied; parcel tenure and forest integrity remain unverified. These omissions materially prevent endorsing greenfield urban construction.</w:t>
      </w:r>
    </w:p>
    <w:p>
      <w:pPr>
        <w:pStyle w:val="Heading2"/>
        <w:ind w:firstLine="0"/>
        <w:jc w:val="left"/>
      </w:pPr>
      <w:r>
        <w:t>F. External Validity, Planning Meaning, and Remaining Requirements</w:t>
      </w:r>
    </w:p>
    <w:p>
      <w:pPr>
        <w:jc w:val="both"/>
      </w:pPr>
      <w:r>
        <w:t>The revised model quantifies a relationship between estimated population, mapped roads, candidate facilities, and a distance threshold. It does not measure actual journeys, induced development, or a shift of trade away from Kinshasa. Polycentricity requires complementary functions and interactions, not merely selecting several points. A coverage objective can favour dense, well-mapped areas even when a planner prioritizes provincial equity. Conversely, demanding one hub per province can reduce distance-based efficiency. These are explicit policy choices that should be compared using observed costs and service objectives rather than hidden inside a claim of sovereignty.</w:t>
      </w:r>
    </w:p>
    <w:p>
      <w:pPr>
        <w:jc w:val="both"/>
      </w:pPr>
      <w:r>
        <w:t>The direct road graph is a methodological improvement over forced MST connectivity, but remains a provisional representation. A 1% deletion stress tests fragility without estimating omitted roads; adding tracks broadens mapped access without certifying their passability. No speed model is calibrated. Population products disagree considerably, and a 2025 modelled epoch does not synchronize perfectly with a 2026 road snapshot. Alternative 50- and 150-km thresholds are now tested, but no service-specific empirical threshold is calibrated. None of these qualifications can be replaced by calling an internal consistency check validation.</w:t>
      </w:r>
    </w:p>
    <w:p>
      <w:pPr>
        <w:jc w:val="both"/>
      </w:pPr>
      <w:r>
        <w:t>The secondary JICA report confirms that observed urban mobility evidence exists locally [32]. Its units, spatial scope and period differ from the regional covering target. The external road and route checks in Sections III.I–J expose mismatches, including a Bandundu discrepancy partly explained by the omitted ferry in Section III.K, rather than establish population-access accuracy. A defensible outcome validation would pair geocoded service-access or journey observations with the same endpoints, modes and dates, first resolve major routing anomalies, and then evaluate errors on withheld observations. Until that test is executed, this article remains an exploratory geospatial sensitivity study.</w:t>
      </w:r>
    </w:p>
    <w:p>
      <w:pPr>
        <w:jc w:val="both"/>
      </w:pPr>
      <w:r>
        <w:t>A causal historical study is a separate requirement. It would digitize colonial-era routes, document post-independence construction and maintenance, harmonize historical settlement demand, and compare spatial configurations under explicit counterfactuals. Current centrality or coverage alone cannot apportion fragmentation between inherited infrastructure and later investment failures. Historical explanation is therefore excluded from the quantitative conclusions. The results can motivate that subsequent research without establishing its answer.</w:t>
      </w:r>
    </w:p>
    <w:p>
      <w:pPr>
        <w:jc w:val="both"/>
      </w:pPr>
      <w:r>
        <w:t>For implementation, an agency should first agree on a service definition, candidate universe, and admissible routes. Population totals should be reconciled with nationally accepted sources; graph junctions and access restrictions should be inspected; hydrographic navigation and rail operations require their own inventories. Equity, capacities, finance, climate risk, customary tenure, and conservation exclusions must be added before evaluating new locations. The present computations provide a transparent baseline for those choices rather than a substitute for them.</w:t>
      </w:r>
    </w:p>
    <w:p>
      <w:pPr>
        <w:pStyle w:val="Heading2"/>
        <w:ind w:firstLine="0"/>
        <w:jc w:val="left"/>
      </w:pPr>
      <w:r>
        <w:t>G. Additional Scenario and Conservation Results</w:t>
      </w:r>
    </w:p>
    <w:p>
      <w:pPr>
        <w:jc w:val="both"/>
      </w:pPr>
      <w:r>
        <w:t>All 108 additional covering optimizations report zero solver status and zero MIP gap. Table IX gives the five-realization ranges for p = 10; it holds grid resolution and road classes constant. Differences across coverage thresholds express a policy-distance assumption, while variation within a product and threshold reflects the combined deletion–coordinate stress. These ranges remain descriptors of the chosen stresses, not confidence bounds on actual service coverage.</w:t>
      </w:r>
    </w:p>
    <w:p>
      <w:pPr>
        <w:keepNext/>
        <w:ind w:firstLine="0"/>
        <w:jc w:val="center"/>
      </w:pPr>
      <w:r>
        <w:rPr>
          <w:sz w:val="16"/>
        </w:rPr>
        <w:t>TABLE IX</w:t>
        <w:br/>
        <w:t>TEN-HUB COVERAGE IN FIVE REPEATED JOINT STRESSES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474"/>
        <w:gridCol w:w="964"/>
        <w:gridCol w:w="1417"/>
        <w:gridCol w:w="1037"/>
      </w:tblGrid>
      <w:tr>
        <w:trPr>
          <w:cantSplit/>
          <w:tblHeader/>
        </w:trPr>
        <w:tc>
          <w:tcPr>
            <w:tcW w:type="dxa" w:w="1474"/>
            <w:vAlign w:val="center"/>
          </w:tcPr>
          <w:p>
            <w:pPr>
              <w:keepNext/>
              <w:spacing w:after="40" w:before="20" w:line="240" w:lineRule="auto"/>
              <w:ind w:firstLine="0"/>
            </w:pPr>
            <w:r>
              <w:rPr>
                <w:rFonts w:ascii="Times New Roman" w:hAnsi="Times New Roman"/>
                <w:b/>
                <w:sz w:val="16"/>
              </w:rPr>
              <w:t>Product</w:t>
            </w:r>
          </w:p>
        </w:tc>
        <w:tc>
          <w:tcPr>
            <w:tcW w:type="dxa" w:w="964"/>
            <w:vAlign w:val="center"/>
          </w:tcPr>
          <w:p>
            <w:pPr>
              <w:keepNext/>
              <w:spacing w:after="40" w:before="20" w:line="240" w:lineRule="auto"/>
              <w:ind w:firstLine="0"/>
            </w:pPr>
            <w:r>
              <w:rPr>
                <w:rFonts w:ascii="Times New Roman" w:hAnsi="Times New Roman"/>
                <w:b/>
                <w:sz w:val="16"/>
              </w:rPr>
              <w:t>Limit km</w:t>
            </w:r>
          </w:p>
        </w:tc>
        <w:tc>
          <w:tcPr>
            <w:tcW w:type="dxa" w:w="1417"/>
            <w:vAlign w:val="center"/>
          </w:tcPr>
          <w:p>
            <w:pPr>
              <w:keepNext/>
              <w:spacing w:after="40" w:before="20" w:line="240" w:lineRule="auto"/>
              <w:ind w:firstLine="0"/>
            </w:pPr>
            <w:r>
              <w:rPr>
                <w:rFonts w:ascii="Times New Roman" w:hAnsi="Times New Roman"/>
                <w:b/>
                <w:sz w:val="16"/>
              </w:rPr>
              <w:t>Range %</w:t>
            </w:r>
          </w:p>
        </w:tc>
        <w:tc>
          <w:tcPr>
            <w:tcW w:type="dxa" w:w="1037"/>
            <w:vAlign w:val="center"/>
          </w:tcPr>
          <w:p>
            <w:pPr>
              <w:keepNext/>
              <w:spacing w:after="40" w:before="20" w:line="240" w:lineRule="auto"/>
              <w:ind w:firstLine="0"/>
            </w:pPr>
            <w:r>
              <w:rPr>
                <w:rFonts w:ascii="Times New Roman" w:hAnsi="Times New Roman"/>
                <w:b/>
                <w:sz w:val="16"/>
              </w:rPr>
              <w:t>Mean %</w:t>
            </w:r>
          </w:p>
        </w:tc>
      </w:tr>
      <w:tr>
        <w:trPr>
          <w:cantSplit/>
        </w:trPr>
        <w:tc>
          <w:tcPr>
            <w:tcW w:type="dxa" w:w="1474"/>
            <w:vAlign w:val="center"/>
          </w:tcPr>
          <w:p>
            <w:pPr>
              <w:keepNext/>
              <w:spacing w:after="40" w:before="20" w:line="240" w:lineRule="auto"/>
              <w:ind w:firstLine="0"/>
            </w:pPr>
            <w:r>
              <w:rPr>
                <w:rFonts w:ascii="Times New Roman" w:hAnsi="Times New Roman"/>
                <w:sz w:val="16"/>
              </w:rPr>
              <w:t>WorldPop</w:t>
            </w:r>
          </w:p>
        </w:tc>
        <w:tc>
          <w:tcPr>
            <w:tcW w:type="dxa" w:w="964"/>
            <w:vAlign w:val="center"/>
          </w:tcPr>
          <w:p>
            <w:pPr>
              <w:keepNext/>
              <w:spacing w:after="40" w:before="20" w:line="240" w:lineRule="auto"/>
              <w:ind w:firstLine="0"/>
            </w:pPr>
            <w:r>
              <w:rPr>
                <w:rFonts w:ascii="Times New Roman" w:hAnsi="Times New Roman"/>
                <w:sz w:val="16"/>
              </w:rPr>
              <w:t>50</w:t>
            </w:r>
          </w:p>
        </w:tc>
        <w:tc>
          <w:tcPr>
            <w:tcW w:type="dxa" w:w="1417"/>
            <w:vAlign w:val="center"/>
          </w:tcPr>
          <w:p>
            <w:pPr>
              <w:keepNext/>
              <w:spacing w:after="40" w:before="20" w:line="240" w:lineRule="auto"/>
              <w:ind w:firstLine="0"/>
            </w:pPr>
            <w:r>
              <w:rPr>
                <w:rFonts w:ascii="Times New Roman" w:hAnsi="Times New Roman"/>
                <w:sz w:val="16"/>
              </w:rPr>
              <w:t>35.27–36.38</w:t>
            </w:r>
          </w:p>
        </w:tc>
        <w:tc>
          <w:tcPr>
            <w:tcW w:type="dxa" w:w="1037"/>
            <w:vAlign w:val="center"/>
          </w:tcPr>
          <w:p>
            <w:pPr>
              <w:keepNext/>
              <w:spacing w:after="40" w:before="20" w:line="240" w:lineRule="auto"/>
              <w:ind w:firstLine="0"/>
            </w:pPr>
            <w:r>
              <w:rPr>
                <w:rFonts w:ascii="Times New Roman" w:hAnsi="Times New Roman"/>
                <w:sz w:val="16"/>
              </w:rPr>
              <w:t>35.99</w:t>
            </w:r>
          </w:p>
        </w:tc>
      </w:tr>
      <w:tr>
        <w:trPr>
          <w:cantSplit/>
        </w:trPr>
        <w:tc>
          <w:tcPr>
            <w:tcW w:type="dxa" w:w="1474"/>
            <w:vAlign w:val="center"/>
          </w:tcPr>
          <w:p>
            <w:pPr>
              <w:keepNext/>
              <w:spacing w:after="40" w:before="20" w:line="240" w:lineRule="auto"/>
              <w:ind w:firstLine="0"/>
            </w:pPr>
            <w:r>
              <w:rPr>
                <w:rFonts w:ascii="Times New Roman" w:hAnsi="Times New Roman"/>
                <w:sz w:val="16"/>
              </w:rPr>
              <w:t>WorldPop</w:t>
            </w:r>
          </w:p>
        </w:tc>
        <w:tc>
          <w:tcPr>
            <w:tcW w:type="dxa" w:w="964"/>
            <w:vAlign w:val="center"/>
          </w:tcPr>
          <w:p>
            <w:pPr>
              <w:keepNext/>
              <w:spacing w:after="40" w:before="20" w:line="240" w:lineRule="auto"/>
              <w:ind w:firstLine="0"/>
            </w:pPr>
            <w:r>
              <w:rPr>
                <w:rFonts w:ascii="Times New Roman" w:hAnsi="Times New Roman"/>
                <w:sz w:val="16"/>
              </w:rPr>
              <w:t>100</w:t>
            </w:r>
          </w:p>
        </w:tc>
        <w:tc>
          <w:tcPr>
            <w:tcW w:type="dxa" w:w="1417"/>
            <w:vAlign w:val="center"/>
          </w:tcPr>
          <w:p>
            <w:pPr>
              <w:keepNext/>
              <w:spacing w:after="40" w:before="20" w:line="240" w:lineRule="auto"/>
              <w:ind w:firstLine="0"/>
            </w:pPr>
            <w:r>
              <w:rPr>
                <w:rFonts w:ascii="Times New Roman" w:hAnsi="Times New Roman"/>
                <w:sz w:val="16"/>
              </w:rPr>
              <w:t>48.51–49.92</w:t>
            </w:r>
          </w:p>
        </w:tc>
        <w:tc>
          <w:tcPr>
            <w:tcW w:type="dxa" w:w="1037"/>
            <w:vAlign w:val="center"/>
          </w:tcPr>
          <w:p>
            <w:pPr>
              <w:keepNext/>
              <w:spacing w:after="40" w:before="20" w:line="240" w:lineRule="auto"/>
              <w:ind w:firstLine="0"/>
            </w:pPr>
            <w:r>
              <w:rPr>
                <w:rFonts w:ascii="Times New Roman" w:hAnsi="Times New Roman"/>
                <w:sz w:val="16"/>
              </w:rPr>
              <w:t>49.54</w:t>
            </w:r>
          </w:p>
        </w:tc>
      </w:tr>
      <w:tr>
        <w:trPr>
          <w:cantSplit/>
        </w:trPr>
        <w:tc>
          <w:tcPr>
            <w:tcW w:type="dxa" w:w="1474"/>
            <w:vAlign w:val="center"/>
          </w:tcPr>
          <w:p>
            <w:pPr>
              <w:keepNext/>
              <w:spacing w:after="40" w:before="20" w:line="240" w:lineRule="auto"/>
              <w:ind w:firstLine="0"/>
            </w:pPr>
            <w:r>
              <w:rPr>
                <w:rFonts w:ascii="Times New Roman" w:hAnsi="Times New Roman"/>
                <w:sz w:val="16"/>
              </w:rPr>
              <w:t>WorldPop</w:t>
            </w:r>
          </w:p>
        </w:tc>
        <w:tc>
          <w:tcPr>
            <w:tcW w:type="dxa" w:w="964"/>
            <w:vAlign w:val="center"/>
          </w:tcPr>
          <w:p>
            <w:pPr>
              <w:keepNext/>
              <w:spacing w:after="40" w:before="20" w:line="240" w:lineRule="auto"/>
              <w:ind w:firstLine="0"/>
            </w:pPr>
            <w:r>
              <w:rPr>
                <w:rFonts w:ascii="Times New Roman" w:hAnsi="Times New Roman"/>
                <w:sz w:val="16"/>
              </w:rPr>
              <w:t>150</w:t>
            </w:r>
          </w:p>
        </w:tc>
        <w:tc>
          <w:tcPr>
            <w:tcW w:type="dxa" w:w="1417"/>
            <w:vAlign w:val="center"/>
          </w:tcPr>
          <w:p>
            <w:pPr>
              <w:keepNext/>
              <w:spacing w:after="40" w:before="20" w:line="240" w:lineRule="auto"/>
              <w:ind w:firstLine="0"/>
            </w:pPr>
            <w:r>
              <w:rPr>
                <w:rFonts w:ascii="Times New Roman" w:hAnsi="Times New Roman"/>
                <w:sz w:val="16"/>
              </w:rPr>
              <w:t>60.70–61.52</w:t>
            </w:r>
          </w:p>
        </w:tc>
        <w:tc>
          <w:tcPr>
            <w:tcW w:type="dxa" w:w="1037"/>
            <w:vAlign w:val="center"/>
          </w:tcPr>
          <w:p>
            <w:pPr>
              <w:keepNext/>
              <w:spacing w:after="40" w:before="20" w:line="240" w:lineRule="auto"/>
              <w:ind w:firstLine="0"/>
            </w:pPr>
            <w:r>
              <w:rPr>
                <w:rFonts w:ascii="Times New Roman" w:hAnsi="Times New Roman"/>
                <w:sz w:val="16"/>
              </w:rPr>
              <w:t>61.19</w:t>
            </w:r>
          </w:p>
        </w:tc>
      </w:tr>
      <w:tr>
        <w:trPr>
          <w:cantSplit/>
        </w:trPr>
        <w:tc>
          <w:tcPr>
            <w:tcW w:type="dxa" w:w="1474"/>
            <w:vAlign w:val="center"/>
          </w:tcPr>
          <w:p>
            <w:pPr>
              <w:keepNext/>
              <w:spacing w:after="40" w:before="20" w:line="240" w:lineRule="auto"/>
              <w:ind w:firstLine="0"/>
            </w:pPr>
            <w:r>
              <w:rPr>
                <w:rFonts w:ascii="Times New Roman" w:hAnsi="Times New Roman"/>
                <w:sz w:val="16"/>
              </w:rPr>
              <w:t>GHSPOP</w:t>
            </w:r>
          </w:p>
        </w:tc>
        <w:tc>
          <w:tcPr>
            <w:tcW w:type="dxa" w:w="964"/>
            <w:vAlign w:val="center"/>
          </w:tcPr>
          <w:p>
            <w:pPr>
              <w:keepNext/>
              <w:spacing w:after="40" w:before="20" w:line="240" w:lineRule="auto"/>
              <w:ind w:firstLine="0"/>
            </w:pPr>
            <w:r>
              <w:rPr>
                <w:rFonts w:ascii="Times New Roman" w:hAnsi="Times New Roman"/>
                <w:sz w:val="16"/>
              </w:rPr>
              <w:t>50</w:t>
            </w:r>
          </w:p>
        </w:tc>
        <w:tc>
          <w:tcPr>
            <w:tcW w:type="dxa" w:w="1417"/>
            <w:vAlign w:val="center"/>
          </w:tcPr>
          <w:p>
            <w:pPr>
              <w:keepNext/>
              <w:spacing w:after="40" w:before="20" w:line="240" w:lineRule="auto"/>
              <w:ind w:firstLine="0"/>
            </w:pPr>
            <w:r>
              <w:rPr>
                <w:rFonts w:ascii="Times New Roman" w:hAnsi="Times New Roman"/>
                <w:sz w:val="16"/>
              </w:rPr>
              <w:t>51.31–52.38</w:t>
            </w:r>
          </w:p>
        </w:tc>
        <w:tc>
          <w:tcPr>
            <w:tcW w:type="dxa" w:w="1037"/>
            <w:vAlign w:val="center"/>
          </w:tcPr>
          <w:p>
            <w:pPr>
              <w:keepNext/>
              <w:spacing w:after="40" w:before="20" w:line="240" w:lineRule="auto"/>
              <w:ind w:firstLine="0"/>
            </w:pPr>
            <w:r>
              <w:rPr>
                <w:rFonts w:ascii="Times New Roman" w:hAnsi="Times New Roman"/>
                <w:sz w:val="16"/>
              </w:rPr>
              <w:t>51.95</w:t>
            </w:r>
          </w:p>
        </w:tc>
      </w:tr>
      <w:tr>
        <w:trPr>
          <w:cantSplit/>
        </w:trPr>
        <w:tc>
          <w:tcPr>
            <w:tcW w:type="dxa" w:w="1474"/>
            <w:vAlign w:val="center"/>
          </w:tcPr>
          <w:p>
            <w:pPr>
              <w:keepNext/>
              <w:spacing w:after="40" w:before="20" w:line="240" w:lineRule="auto"/>
              <w:ind w:firstLine="0"/>
            </w:pPr>
            <w:r>
              <w:rPr>
                <w:rFonts w:ascii="Times New Roman" w:hAnsi="Times New Roman"/>
                <w:sz w:val="16"/>
              </w:rPr>
              <w:t>GHSPOP</w:t>
            </w:r>
          </w:p>
        </w:tc>
        <w:tc>
          <w:tcPr>
            <w:tcW w:type="dxa" w:w="964"/>
            <w:vAlign w:val="center"/>
          </w:tcPr>
          <w:p>
            <w:pPr>
              <w:keepNext/>
              <w:spacing w:after="40" w:before="20" w:line="240" w:lineRule="auto"/>
              <w:ind w:firstLine="0"/>
            </w:pPr>
            <w:r>
              <w:rPr>
                <w:rFonts w:ascii="Times New Roman" w:hAnsi="Times New Roman"/>
                <w:sz w:val="16"/>
              </w:rPr>
              <w:t>100</w:t>
            </w:r>
          </w:p>
        </w:tc>
        <w:tc>
          <w:tcPr>
            <w:tcW w:type="dxa" w:w="1417"/>
            <w:vAlign w:val="center"/>
          </w:tcPr>
          <w:p>
            <w:pPr>
              <w:keepNext/>
              <w:spacing w:after="40" w:before="20" w:line="240" w:lineRule="auto"/>
              <w:ind w:firstLine="0"/>
            </w:pPr>
            <w:r>
              <w:rPr>
                <w:rFonts w:ascii="Times New Roman" w:hAnsi="Times New Roman"/>
                <w:sz w:val="16"/>
              </w:rPr>
              <w:t>60.85–62.21</w:t>
            </w:r>
          </w:p>
        </w:tc>
        <w:tc>
          <w:tcPr>
            <w:tcW w:type="dxa" w:w="1037"/>
            <w:vAlign w:val="center"/>
          </w:tcPr>
          <w:p>
            <w:pPr>
              <w:keepNext/>
              <w:spacing w:after="40" w:before="20" w:line="240" w:lineRule="auto"/>
              <w:ind w:firstLine="0"/>
            </w:pPr>
            <w:r>
              <w:rPr>
                <w:rFonts w:ascii="Times New Roman" w:hAnsi="Times New Roman"/>
                <w:sz w:val="16"/>
              </w:rPr>
              <w:t>61.74</w:t>
            </w:r>
          </w:p>
        </w:tc>
      </w:tr>
      <w:tr>
        <w:trPr>
          <w:cantSplit/>
        </w:trPr>
        <w:tc>
          <w:tcPr>
            <w:tcW w:type="dxa" w:w="1474"/>
            <w:vAlign w:val="center"/>
          </w:tcPr>
          <w:p>
            <w:pPr>
              <w:spacing w:after="40" w:before="20" w:line="240" w:lineRule="auto"/>
              <w:ind w:firstLine="0"/>
            </w:pPr>
            <w:r>
              <w:rPr>
                <w:rFonts w:ascii="Times New Roman" w:hAnsi="Times New Roman"/>
                <w:sz w:val="16"/>
              </w:rPr>
              <w:t>GHSPOP</w:t>
            </w:r>
          </w:p>
        </w:tc>
        <w:tc>
          <w:tcPr>
            <w:tcW w:type="dxa" w:w="964"/>
            <w:vAlign w:val="center"/>
          </w:tcPr>
          <w:p>
            <w:pPr>
              <w:spacing w:after="40" w:before="20" w:line="240" w:lineRule="auto"/>
              <w:ind w:firstLine="0"/>
            </w:pPr>
            <w:r>
              <w:rPr>
                <w:rFonts w:ascii="Times New Roman" w:hAnsi="Times New Roman"/>
                <w:sz w:val="16"/>
              </w:rPr>
              <w:t>150</w:t>
            </w:r>
          </w:p>
        </w:tc>
        <w:tc>
          <w:tcPr>
            <w:tcW w:type="dxa" w:w="1417"/>
            <w:vAlign w:val="center"/>
          </w:tcPr>
          <w:p>
            <w:pPr>
              <w:spacing w:after="40" w:before="20" w:line="240" w:lineRule="auto"/>
              <w:ind w:firstLine="0"/>
            </w:pPr>
            <w:r>
              <w:rPr>
                <w:rFonts w:ascii="Times New Roman" w:hAnsi="Times New Roman"/>
                <w:sz w:val="16"/>
              </w:rPr>
              <w:t>69.18–70.10</w:t>
            </w:r>
          </w:p>
        </w:tc>
        <w:tc>
          <w:tcPr>
            <w:tcW w:type="dxa" w:w="1037"/>
            <w:vAlign w:val="center"/>
          </w:tcPr>
          <w:p>
            <w:pPr>
              <w:spacing w:after="40" w:before="20" w:line="240" w:lineRule="auto"/>
              <w:ind w:firstLine="0"/>
            </w:pPr>
            <w:r>
              <w:rPr>
                <w:rFonts w:ascii="Times New Roman" w:hAnsi="Times New Roman"/>
                <w:sz w:val="16"/>
              </w:rPr>
              <w:t>69.70</w:t>
            </w:r>
          </w:p>
        </w:tc>
      </w:tr>
    </w:tbl>
    <w:p>
      <w:pPr>
        <w:spacing w:after="0"/>
      </w:pPr>
    </w:p>
    <w:p>
      <w:pPr>
        <w:jc w:val="both"/>
      </w:pPr>
      <w:r>
        <w:t>The common regional mask contains 7,677 ten-kilometre centres and 1,239 twenty-five-kilometre centres. Remoteness and mapped-access rules retain 6,519 and 1,047, respectively. Protected polygons contain 1,044 and 167 of those centres. Testing the whole square footprint instead excludes 1,298 and 268 cells, before land-cover screening (Table X). The point-only reported-area buffer intersects no eligible cell in this region. Polygon overlap is dissolved, so cells are counted once. A difference between centre and footprint screening is not a discrepancy in the source; it follows from the explicitly different spatial tests.</w:t>
      </w:r>
    </w:p>
    <w:p>
      <w:pPr>
        <w:keepNext/>
        <w:ind w:firstLine="0"/>
        <w:jc w:val="center"/>
      </w:pPr>
      <w:r>
        <w:rPr>
          <w:sz w:val="16"/>
        </w:rPr>
        <w:t>TABLE X</w:t>
        <w:br/>
        <w:t>CANDIDATE GRID AND PROTECTED POLYGON INTERSECTIONS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907"/>
        <w:gridCol w:w="1134"/>
        <w:gridCol w:w="1417"/>
        <w:gridCol w:w="1434"/>
      </w:tblGrid>
      <w:tr>
        <w:trPr>
          <w:cantSplit/>
          <w:tblHeader/>
        </w:trPr>
        <w:tc>
          <w:tcPr>
            <w:tcW w:type="dxa" w:w="907"/>
            <w:vAlign w:val="center"/>
          </w:tcPr>
          <w:p>
            <w:pPr>
              <w:keepNext/>
              <w:spacing w:after="40" w:before="20" w:line="240" w:lineRule="auto"/>
              <w:ind w:firstLine="0"/>
            </w:pPr>
            <w:r>
              <w:rPr>
                <w:rFonts w:ascii="Times New Roman" w:hAnsi="Times New Roman"/>
                <w:b/>
                <w:sz w:val="16"/>
              </w:rPr>
              <w:t>Grid km</w:t>
            </w:r>
          </w:p>
        </w:tc>
        <w:tc>
          <w:tcPr>
            <w:tcW w:type="dxa" w:w="1134"/>
            <w:vAlign w:val="center"/>
          </w:tcPr>
          <w:p>
            <w:pPr>
              <w:keepNext/>
              <w:spacing w:after="40" w:before="20" w:line="240" w:lineRule="auto"/>
              <w:ind w:firstLine="0"/>
            </w:pPr>
            <w:r>
              <w:rPr>
                <w:rFonts w:ascii="Times New Roman" w:hAnsi="Times New Roman"/>
                <w:b/>
                <w:sz w:val="16"/>
              </w:rPr>
              <w:t>Eligible</w:t>
            </w:r>
          </w:p>
        </w:tc>
        <w:tc>
          <w:tcPr>
            <w:tcW w:type="dxa" w:w="1417"/>
            <w:vAlign w:val="center"/>
          </w:tcPr>
          <w:p>
            <w:pPr>
              <w:keepNext/>
              <w:spacing w:after="40" w:before="20" w:line="240" w:lineRule="auto"/>
              <w:ind w:firstLine="0"/>
            </w:pPr>
            <w:r>
              <w:rPr>
                <w:rFonts w:ascii="Times New Roman" w:hAnsi="Times New Roman"/>
                <w:b/>
                <w:sz w:val="16"/>
              </w:rPr>
              <w:t>Centre mask</w:t>
            </w:r>
          </w:p>
        </w:tc>
        <w:tc>
          <w:tcPr>
            <w:tcW w:type="dxa" w:w="1434"/>
            <w:vAlign w:val="center"/>
          </w:tcPr>
          <w:p>
            <w:pPr>
              <w:keepNext/>
              <w:spacing w:after="40" w:before="20" w:line="240" w:lineRule="auto"/>
              <w:ind w:firstLine="0"/>
            </w:pPr>
            <w:r>
              <w:rPr>
                <w:rFonts w:ascii="Times New Roman" w:hAnsi="Times New Roman"/>
                <w:b/>
                <w:sz w:val="16"/>
              </w:rPr>
              <w:t>Cell mask</w:t>
            </w:r>
          </w:p>
        </w:tc>
      </w:tr>
      <w:tr>
        <w:trPr>
          <w:cantSplit/>
        </w:trPr>
        <w:tc>
          <w:tcPr>
            <w:tcW w:type="dxa" w:w="907"/>
            <w:vAlign w:val="center"/>
          </w:tcPr>
          <w:p>
            <w:pPr>
              <w:keepNext/>
              <w:spacing w:after="40" w:before="20" w:line="240" w:lineRule="auto"/>
              <w:ind w:firstLine="0"/>
            </w:pPr>
            <w:r>
              <w:rPr>
                <w:rFonts w:ascii="Times New Roman" w:hAnsi="Times New Roman"/>
                <w:sz w:val="16"/>
              </w:rPr>
              <w:t>10</w:t>
            </w:r>
          </w:p>
        </w:tc>
        <w:tc>
          <w:tcPr>
            <w:tcW w:type="dxa" w:w="1134"/>
            <w:vAlign w:val="center"/>
          </w:tcPr>
          <w:p>
            <w:pPr>
              <w:keepNext/>
              <w:spacing w:after="40" w:before="20" w:line="240" w:lineRule="auto"/>
              <w:ind w:firstLine="0"/>
            </w:pPr>
            <w:r>
              <w:rPr>
                <w:rFonts w:ascii="Times New Roman" w:hAnsi="Times New Roman"/>
                <w:sz w:val="16"/>
              </w:rPr>
              <w:t>6519</w:t>
            </w:r>
          </w:p>
        </w:tc>
        <w:tc>
          <w:tcPr>
            <w:tcW w:type="dxa" w:w="1417"/>
            <w:vAlign w:val="center"/>
          </w:tcPr>
          <w:p>
            <w:pPr>
              <w:keepNext/>
              <w:spacing w:after="40" w:before="20" w:line="240" w:lineRule="auto"/>
              <w:ind w:firstLine="0"/>
            </w:pPr>
            <w:r>
              <w:rPr>
                <w:rFonts w:ascii="Times New Roman" w:hAnsi="Times New Roman"/>
                <w:sz w:val="16"/>
              </w:rPr>
              <w:t>1044</w:t>
            </w:r>
          </w:p>
        </w:tc>
        <w:tc>
          <w:tcPr>
            <w:tcW w:type="dxa" w:w="1434"/>
            <w:vAlign w:val="center"/>
          </w:tcPr>
          <w:p>
            <w:pPr>
              <w:keepNext/>
              <w:spacing w:after="40" w:before="20" w:line="240" w:lineRule="auto"/>
              <w:ind w:firstLine="0"/>
            </w:pPr>
            <w:r>
              <w:rPr>
                <w:rFonts w:ascii="Times New Roman" w:hAnsi="Times New Roman"/>
                <w:sz w:val="16"/>
              </w:rPr>
              <w:t>1298</w:t>
            </w:r>
          </w:p>
        </w:tc>
      </w:tr>
      <w:tr>
        <w:trPr>
          <w:cantSplit/>
        </w:trPr>
        <w:tc>
          <w:tcPr>
            <w:tcW w:type="dxa" w:w="907"/>
            <w:vAlign w:val="center"/>
          </w:tcPr>
          <w:p>
            <w:pPr>
              <w:spacing w:after="40" w:before="20" w:line="240" w:lineRule="auto"/>
              <w:ind w:firstLine="0"/>
            </w:pPr>
            <w:r>
              <w:rPr>
                <w:rFonts w:ascii="Times New Roman" w:hAnsi="Times New Roman"/>
                <w:sz w:val="16"/>
              </w:rPr>
              <w:t>25</w:t>
            </w:r>
          </w:p>
        </w:tc>
        <w:tc>
          <w:tcPr>
            <w:tcW w:type="dxa" w:w="1134"/>
            <w:vAlign w:val="center"/>
          </w:tcPr>
          <w:p>
            <w:pPr>
              <w:spacing w:after="40" w:before="20" w:line="240" w:lineRule="auto"/>
              <w:ind w:firstLine="0"/>
            </w:pPr>
            <w:r>
              <w:rPr>
                <w:rFonts w:ascii="Times New Roman" w:hAnsi="Times New Roman"/>
                <w:sz w:val="16"/>
              </w:rPr>
              <w:t>1047</w:t>
            </w:r>
          </w:p>
        </w:tc>
        <w:tc>
          <w:tcPr>
            <w:tcW w:type="dxa" w:w="1417"/>
            <w:vAlign w:val="center"/>
          </w:tcPr>
          <w:p>
            <w:pPr>
              <w:spacing w:after="40" w:before="20" w:line="240" w:lineRule="auto"/>
              <w:ind w:firstLine="0"/>
            </w:pPr>
            <w:r>
              <w:rPr>
                <w:rFonts w:ascii="Times New Roman" w:hAnsi="Times New Roman"/>
                <w:sz w:val="16"/>
              </w:rPr>
              <w:t>167</w:t>
            </w:r>
          </w:p>
        </w:tc>
        <w:tc>
          <w:tcPr>
            <w:tcW w:type="dxa" w:w="1434"/>
            <w:vAlign w:val="center"/>
          </w:tcPr>
          <w:p>
            <w:pPr>
              <w:spacing w:after="40" w:before="20" w:line="240" w:lineRule="auto"/>
              <w:ind w:firstLine="0"/>
            </w:pPr>
            <w:r>
              <w:rPr>
                <w:rFonts w:ascii="Times New Roman" w:hAnsi="Times New Roman"/>
                <w:sz w:val="16"/>
              </w:rPr>
              <w:t>268</w:t>
            </w:r>
          </w:p>
        </w:tc>
      </w:tr>
    </w:tbl>
    <w:p>
      <w:pPr>
        <w:spacing w:after="0"/>
      </w:pPr>
    </w:p>
    <w:p>
      <w:pPr>
        <w:keepNext/>
        <w:ind w:firstLine="0"/>
        <w:jc w:val="center"/>
      </w:pPr>
      <w:r>
        <w:rPr>
          <w:sz w:val="16"/>
        </w:rPr>
        <w:t>TABLE XI</w:t>
        <w:br/>
        <w:t>LAND-COVER AND FULL-CELL PROTECTED-AREA SCREENING</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794"/>
        <w:gridCol w:w="1757"/>
        <w:gridCol w:w="1191"/>
        <w:gridCol w:w="1151"/>
      </w:tblGrid>
      <w:tr>
        <w:trPr>
          <w:cantSplit/>
          <w:tblHeader/>
        </w:trPr>
        <w:tc>
          <w:tcPr>
            <w:tcW w:type="dxa" w:w="794"/>
            <w:vAlign w:val="center"/>
          </w:tcPr>
          <w:p>
            <w:pPr>
              <w:keepNext/>
              <w:spacing w:after="40" w:before="20" w:line="240" w:lineRule="auto"/>
              <w:ind w:firstLine="0"/>
            </w:pPr>
            <w:r>
              <w:rPr>
                <w:rFonts w:ascii="Times New Roman" w:hAnsi="Times New Roman"/>
                <w:b/>
                <w:sz w:val="16"/>
              </w:rPr>
              <w:t>Grid km</w:t>
            </w:r>
          </w:p>
        </w:tc>
        <w:tc>
          <w:tcPr>
            <w:tcW w:type="dxa" w:w="1757"/>
            <w:vAlign w:val="center"/>
          </w:tcPr>
          <w:p>
            <w:pPr>
              <w:keepNext/>
              <w:spacing w:after="40" w:before="20" w:line="240" w:lineRule="auto"/>
              <w:ind w:firstLine="0"/>
            </w:pPr>
            <w:r>
              <w:rPr>
                <w:rFonts w:ascii="Times New Roman" w:hAnsi="Times New Roman"/>
                <w:b/>
                <w:sz w:val="16"/>
              </w:rPr>
              <w:t>Tree rule</w:t>
            </w:r>
          </w:p>
        </w:tc>
        <w:tc>
          <w:tcPr>
            <w:tcW w:type="dxa" w:w="1191"/>
            <w:vAlign w:val="center"/>
          </w:tcPr>
          <w:p>
            <w:pPr>
              <w:keepNext/>
              <w:spacing w:after="40" w:before="20" w:line="240" w:lineRule="auto"/>
              <w:ind w:firstLine="0"/>
            </w:pPr>
            <w:r>
              <w:rPr>
                <w:rFonts w:ascii="Times New Roman" w:hAnsi="Times New Roman"/>
                <w:b/>
                <w:sz w:val="16"/>
              </w:rPr>
              <w:t>Land-cover pass</w:t>
            </w:r>
          </w:p>
        </w:tc>
        <w:tc>
          <w:tcPr>
            <w:tcW w:type="dxa" w:w="1151"/>
            <w:vAlign w:val="center"/>
          </w:tcPr>
          <w:p>
            <w:pPr>
              <w:keepNext/>
              <w:spacing w:after="40" w:before="20" w:line="240" w:lineRule="auto"/>
              <w:ind w:firstLine="0"/>
            </w:pPr>
            <w:r>
              <w:rPr>
                <w:rFonts w:ascii="Times New Roman" w:hAnsi="Times New Roman"/>
                <w:b/>
                <w:sz w:val="16"/>
              </w:rPr>
              <w:t>After PA mask</w:t>
            </w:r>
          </w:p>
        </w:tc>
      </w:tr>
      <w:tr>
        <w:trPr>
          <w:cantSplit/>
        </w:trPr>
        <w:tc>
          <w:tcPr>
            <w:tcW w:type="dxa" w:w="794"/>
            <w:vAlign w:val="center"/>
          </w:tcPr>
          <w:p>
            <w:pPr>
              <w:keepNext/>
              <w:spacing w:after="40" w:before="20" w:line="240" w:lineRule="auto"/>
              <w:ind w:firstLine="0"/>
            </w:pPr>
            <w:r>
              <w:rPr>
                <w:rFonts w:ascii="Times New Roman" w:hAnsi="Times New Roman"/>
                <w:sz w:val="16"/>
              </w:rPr>
              <w:t>10</w:t>
            </w:r>
          </w:p>
        </w:tc>
        <w:tc>
          <w:tcPr>
            <w:tcW w:type="dxa" w:w="1757"/>
            <w:vAlign w:val="center"/>
          </w:tcPr>
          <w:p>
            <w:pPr>
              <w:keepNext/>
              <w:spacing w:after="40" w:before="20" w:line="240" w:lineRule="auto"/>
              <w:ind w:firstLine="0"/>
            </w:pPr>
            <w:r>
              <w:rPr>
                <w:rFonts w:ascii="Times New Roman" w:hAnsi="Times New Roman"/>
                <w:sz w:val="16"/>
              </w:rPr>
              <w:t>Strict tree exclusion</w:t>
            </w:r>
          </w:p>
        </w:tc>
        <w:tc>
          <w:tcPr>
            <w:tcW w:type="dxa" w:w="1191"/>
            <w:vAlign w:val="center"/>
          </w:tcPr>
          <w:p>
            <w:pPr>
              <w:keepNext/>
              <w:spacing w:after="40" w:before="20" w:line="240" w:lineRule="auto"/>
              <w:ind w:firstLine="0"/>
            </w:pPr>
            <w:r>
              <w:rPr>
                <w:rFonts w:ascii="Times New Roman" w:hAnsi="Times New Roman"/>
                <w:sz w:val="16"/>
              </w:rPr>
              <w:t>1728</w:t>
            </w:r>
          </w:p>
        </w:tc>
        <w:tc>
          <w:tcPr>
            <w:tcW w:type="dxa" w:w="1151"/>
            <w:vAlign w:val="center"/>
          </w:tcPr>
          <w:p>
            <w:pPr>
              <w:keepNext/>
              <w:spacing w:after="40" w:before="20" w:line="240" w:lineRule="auto"/>
              <w:ind w:firstLine="0"/>
            </w:pPr>
            <w:r>
              <w:rPr>
                <w:rFonts w:ascii="Times New Roman" w:hAnsi="Times New Roman"/>
                <w:sz w:val="16"/>
              </w:rPr>
              <w:t>1583</w:t>
            </w:r>
          </w:p>
        </w:tc>
      </w:tr>
      <w:tr>
        <w:trPr>
          <w:cantSplit/>
        </w:trPr>
        <w:tc>
          <w:tcPr>
            <w:tcW w:type="dxa" w:w="794"/>
            <w:vAlign w:val="center"/>
          </w:tcPr>
          <w:p>
            <w:pPr>
              <w:keepNext/>
              <w:spacing w:after="40" w:before="20" w:line="240" w:lineRule="auto"/>
              <w:ind w:firstLine="0"/>
            </w:pPr>
            <w:r>
              <w:rPr>
                <w:rFonts w:ascii="Times New Roman" w:hAnsi="Times New Roman"/>
                <w:sz w:val="16"/>
              </w:rPr>
              <w:t>10</w:t>
            </w:r>
          </w:p>
        </w:tc>
        <w:tc>
          <w:tcPr>
            <w:tcW w:type="dxa" w:w="1757"/>
            <w:vAlign w:val="center"/>
          </w:tcPr>
          <w:p>
            <w:pPr>
              <w:keepNext/>
              <w:spacing w:after="40" w:before="20" w:line="240" w:lineRule="auto"/>
              <w:ind w:firstLine="0"/>
            </w:pPr>
            <w:r>
              <w:rPr>
                <w:rFonts w:ascii="Times New Roman" w:hAnsi="Times New Roman"/>
                <w:sz w:val="16"/>
              </w:rPr>
              <w:t>Tree admitted test</w:t>
            </w:r>
          </w:p>
        </w:tc>
        <w:tc>
          <w:tcPr>
            <w:tcW w:type="dxa" w:w="1191"/>
            <w:vAlign w:val="center"/>
          </w:tcPr>
          <w:p>
            <w:pPr>
              <w:keepNext/>
              <w:spacing w:after="40" w:before="20" w:line="240" w:lineRule="auto"/>
              <w:ind w:firstLine="0"/>
            </w:pPr>
            <w:r>
              <w:rPr>
                <w:rFonts w:ascii="Times New Roman" w:hAnsi="Times New Roman"/>
                <w:sz w:val="16"/>
              </w:rPr>
              <w:t>6401</w:t>
            </w:r>
          </w:p>
        </w:tc>
        <w:tc>
          <w:tcPr>
            <w:tcW w:type="dxa" w:w="1151"/>
            <w:vAlign w:val="center"/>
          </w:tcPr>
          <w:p>
            <w:pPr>
              <w:keepNext/>
              <w:spacing w:after="40" w:before="20" w:line="240" w:lineRule="auto"/>
              <w:ind w:firstLine="0"/>
            </w:pPr>
            <w:r>
              <w:rPr>
                <w:rFonts w:ascii="Times New Roman" w:hAnsi="Times New Roman"/>
                <w:sz w:val="16"/>
              </w:rPr>
              <w:t>5156</w:t>
            </w:r>
          </w:p>
        </w:tc>
      </w:tr>
      <w:tr>
        <w:trPr>
          <w:cantSplit/>
        </w:trPr>
        <w:tc>
          <w:tcPr>
            <w:tcW w:type="dxa" w:w="794"/>
            <w:vAlign w:val="center"/>
          </w:tcPr>
          <w:p>
            <w:pPr>
              <w:keepNext/>
              <w:spacing w:after="40" w:before="20" w:line="240" w:lineRule="auto"/>
              <w:ind w:firstLine="0"/>
            </w:pPr>
            <w:r>
              <w:rPr>
                <w:rFonts w:ascii="Times New Roman" w:hAnsi="Times New Roman"/>
                <w:sz w:val="16"/>
              </w:rPr>
              <w:t>25</w:t>
            </w:r>
          </w:p>
        </w:tc>
        <w:tc>
          <w:tcPr>
            <w:tcW w:type="dxa" w:w="1757"/>
            <w:vAlign w:val="center"/>
          </w:tcPr>
          <w:p>
            <w:pPr>
              <w:keepNext/>
              <w:spacing w:after="40" w:before="20" w:line="240" w:lineRule="auto"/>
              <w:ind w:firstLine="0"/>
            </w:pPr>
            <w:r>
              <w:rPr>
                <w:rFonts w:ascii="Times New Roman" w:hAnsi="Times New Roman"/>
                <w:sz w:val="16"/>
              </w:rPr>
              <w:t>Strict tree exclusion</w:t>
            </w:r>
          </w:p>
        </w:tc>
        <w:tc>
          <w:tcPr>
            <w:tcW w:type="dxa" w:w="1191"/>
            <w:vAlign w:val="center"/>
          </w:tcPr>
          <w:p>
            <w:pPr>
              <w:keepNext/>
              <w:spacing w:after="40" w:before="20" w:line="240" w:lineRule="auto"/>
              <w:ind w:firstLine="0"/>
            </w:pPr>
            <w:r>
              <w:rPr>
                <w:rFonts w:ascii="Times New Roman" w:hAnsi="Times New Roman"/>
                <w:sz w:val="16"/>
              </w:rPr>
              <w:t>273</w:t>
            </w:r>
          </w:p>
        </w:tc>
        <w:tc>
          <w:tcPr>
            <w:tcW w:type="dxa" w:w="1151"/>
            <w:vAlign w:val="center"/>
          </w:tcPr>
          <w:p>
            <w:pPr>
              <w:keepNext/>
              <w:spacing w:after="40" w:before="20" w:line="240" w:lineRule="auto"/>
              <w:ind w:firstLine="0"/>
            </w:pPr>
            <w:r>
              <w:rPr>
                <w:rFonts w:ascii="Times New Roman" w:hAnsi="Times New Roman"/>
                <w:sz w:val="16"/>
              </w:rPr>
              <w:t>241</w:t>
            </w:r>
          </w:p>
        </w:tc>
      </w:tr>
      <w:tr>
        <w:trPr>
          <w:cantSplit/>
        </w:trPr>
        <w:tc>
          <w:tcPr>
            <w:tcW w:type="dxa" w:w="794"/>
            <w:vAlign w:val="center"/>
          </w:tcPr>
          <w:p>
            <w:pPr>
              <w:spacing w:after="40" w:before="20" w:line="240" w:lineRule="auto"/>
              <w:ind w:firstLine="0"/>
            </w:pPr>
            <w:r>
              <w:rPr>
                <w:rFonts w:ascii="Times New Roman" w:hAnsi="Times New Roman"/>
                <w:sz w:val="16"/>
              </w:rPr>
              <w:t>25</w:t>
            </w:r>
          </w:p>
        </w:tc>
        <w:tc>
          <w:tcPr>
            <w:tcW w:type="dxa" w:w="1757"/>
            <w:vAlign w:val="center"/>
          </w:tcPr>
          <w:p>
            <w:pPr>
              <w:spacing w:after="40" w:before="20" w:line="240" w:lineRule="auto"/>
              <w:ind w:firstLine="0"/>
            </w:pPr>
            <w:r>
              <w:rPr>
                <w:rFonts w:ascii="Times New Roman" w:hAnsi="Times New Roman"/>
                <w:sz w:val="16"/>
              </w:rPr>
              <w:t>Tree admitted test</w:t>
            </w:r>
          </w:p>
        </w:tc>
        <w:tc>
          <w:tcPr>
            <w:tcW w:type="dxa" w:w="1191"/>
            <w:vAlign w:val="center"/>
          </w:tcPr>
          <w:p>
            <w:pPr>
              <w:spacing w:after="40" w:before="20" w:line="240" w:lineRule="auto"/>
              <w:ind w:firstLine="0"/>
            </w:pPr>
            <w:r>
              <w:rPr>
                <w:rFonts w:ascii="Times New Roman" w:hAnsi="Times New Roman"/>
                <w:sz w:val="16"/>
              </w:rPr>
              <w:t>1033</w:t>
            </w:r>
          </w:p>
        </w:tc>
        <w:tc>
          <w:tcPr>
            <w:tcW w:type="dxa" w:w="1151"/>
            <w:vAlign w:val="center"/>
          </w:tcPr>
          <w:p>
            <w:pPr>
              <w:spacing w:after="40" w:before="20" w:line="240" w:lineRule="auto"/>
              <w:ind w:firstLine="0"/>
            </w:pPr>
            <w:r>
              <w:rPr>
                <w:rFonts w:ascii="Times New Roman" w:hAnsi="Times New Roman"/>
                <w:sz w:val="16"/>
              </w:rPr>
              <w:t>772</w:t>
            </w:r>
          </w:p>
        </w:tc>
      </w:tr>
    </w:tbl>
    <w:p>
      <w:pPr>
        <w:spacing w:after="0"/>
      </w:pPr>
    </w:p>
    <w:p>
      <w:pPr>
        <w:jc w:val="both"/>
      </w:pPr>
      <w:r>
        <w:t>Table XI evaluates the land-cover and protected-area rules jointly. Admitting mapped tree cover is deliberately an extreme diagnostic. It measures the influence of the exclusion without identifying which forest could lawfully or ecologically be converted. The detailed output preserves reference and uniform-weight winners at each resolution and mask rule. Changed candidate centres and conditional ranks must not be interpreted as parcel relocation recommendations. Unlike the existing-hub coverage model, this supplementary screen includes preference weights and still requires consultation, slope and flood analysis, and a land-rights assessment.</w:t>
      </w:r>
    </w:p>
    <w:p>
      <w:pPr>
        <w:jc w:val="both"/>
      </w:pPr>
      <w:r>
        <w:t>The strict full-cell screen retains candidates in all ten provinces at 10 km but in only nine at 25 km; Équateur has none at the coarser resolution. Among the nine common provinces, the geodesic shift between the top-scored 10- and 25-km centres has a median of 212.22 km (maximum 313.70 km) under reference weights and 52.02 km (maximum 264.13 km) under uniform weights. Thus, province-specific winners are not stable under this change of sampling grid. The comparison concerns conditional point-centre sampling and ranking, not evidence that urban sites should be moved by those distances.</w:t>
      </w:r>
    </w:p>
    <w:p>
      <w:pPr>
        <w:jc w:val="both"/>
      </w:pPr>
      <w:r>
        <w:t>The JICA screen-line observations are now included as an external evidence inventory. Their units, domain, and model target prevent a valid direct comparison to a percentage of regional population within a distance threshold. JICA’s estimated counts differ from its observations by −7.53% and −5.62%, calculated from its published numbers; these percentages belong to JICA’s own calibration. They are not errors of the model developed here. The principal empirical-validation objection therefore remains unresolved, despite the successful acquisition of actual secondary traffic observations.</w:t>
      </w:r>
    </w:p>
    <w:p>
      <w:pPr>
        <w:pStyle w:val="Heading2"/>
        <w:ind w:firstLine="0"/>
        <w:jc w:val="left"/>
      </w:pPr>
      <w:r>
        <w:t>H. Finite Design Attribution and Morphological Footprints</w:t>
      </w:r>
    </w:p>
    <w:p>
      <w:pPr>
        <w:jc w:val="both"/>
      </w:pPr>
      <w:r>
        <w:t>For ten hubs, the population product accounts for 86.07% of variance as a first-order effect and 86.42% as a total effect (Table XII). Interactions collectively account for 2.81%; the total variance is 45.73 squared percentage points. First-order shares sum to 97.19%. Total effects overlap through interactions and must not be summed. The dominant population-product effect applies to this specific equal-weight scenario design, not to all plausible uncertainties. Uncertain speeds do not enter the revised distance objective. Road additions, calibrated omission rates, continuous error distributions, environmental criteria, and service-specific thresholds are outside this decomposition; they cannot be assigned zero influence on this basis.</w:t>
      </w:r>
    </w:p>
    <w:p>
      <w:pPr>
        <w:keepNext/>
        <w:ind w:firstLine="0"/>
        <w:jc w:val="center"/>
      </w:pPr>
      <w:r>
        <w:rPr>
          <w:sz w:val="16"/>
        </w:rPr>
        <w:t>TABLE XII</w:t>
        <w:br/>
        <w:t>VARIANCE ATTRIBUTION FOR TEN HUBS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2154"/>
        <w:gridCol w:w="1361"/>
        <w:gridCol w:w="1378"/>
      </w:tblGrid>
      <w:tr>
        <w:trPr>
          <w:cantSplit/>
          <w:tblHeader/>
        </w:trPr>
        <w:tc>
          <w:tcPr>
            <w:tcW w:type="dxa" w:w="2154"/>
            <w:vAlign w:val="center"/>
          </w:tcPr>
          <w:p>
            <w:pPr>
              <w:keepNext/>
              <w:spacing w:after="40" w:before="20" w:line="240" w:lineRule="auto"/>
              <w:ind w:firstLine="0"/>
            </w:pPr>
            <w:r>
              <w:rPr>
                <w:rFonts w:ascii="Times New Roman" w:hAnsi="Times New Roman"/>
                <w:b/>
                <w:sz w:val="16"/>
              </w:rPr>
              <w:t>Factor</w:t>
            </w:r>
          </w:p>
        </w:tc>
        <w:tc>
          <w:tcPr>
            <w:tcW w:type="dxa" w:w="1361"/>
            <w:vAlign w:val="center"/>
          </w:tcPr>
          <w:p>
            <w:pPr>
              <w:keepNext/>
              <w:spacing w:after="40" w:before="20" w:line="240" w:lineRule="auto"/>
              <w:ind w:firstLine="0"/>
            </w:pPr>
            <w:r>
              <w:rPr>
                <w:rFonts w:ascii="Times New Roman" w:hAnsi="Times New Roman"/>
                <w:b/>
                <w:sz w:val="16"/>
              </w:rPr>
              <w:t>First order %</w:t>
            </w:r>
          </w:p>
        </w:tc>
        <w:tc>
          <w:tcPr>
            <w:tcW w:type="dxa" w:w="1378"/>
            <w:vAlign w:val="center"/>
          </w:tcPr>
          <w:p>
            <w:pPr>
              <w:keepNext/>
              <w:spacing w:after="40" w:before="20" w:line="240" w:lineRule="auto"/>
              <w:ind w:firstLine="0"/>
            </w:pPr>
            <w:r>
              <w:rPr>
                <w:rFonts w:ascii="Times New Roman" w:hAnsi="Times New Roman"/>
                <w:b/>
                <w:sz w:val="16"/>
              </w:rPr>
              <w:t>Total effect %</w:t>
            </w:r>
          </w:p>
        </w:tc>
      </w:tr>
      <w:tr>
        <w:trPr>
          <w:cantSplit/>
        </w:trPr>
        <w:tc>
          <w:tcPr>
            <w:tcW w:type="dxa" w:w="2154"/>
            <w:vAlign w:val="center"/>
          </w:tcPr>
          <w:p>
            <w:pPr>
              <w:keepNext/>
              <w:spacing w:after="40" w:before="20" w:line="240" w:lineRule="auto"/>
              <w:ind w:firstLine="0"/>
            </w:pPr>
            <w:r>
              <w:rPr>
                <w:rFonts w:ascii="Times New Roman" w:hAnsi="Times New Roman"/>
                <w:sz w:val="16"/>
              </w:rPr>
              <w:t>Population product</w:t>
            </w:r>
          </w:p>
        </w:tc>
        <w:tc>
          <w:tcPr>
            <w:tcW w:type="dxa" w:w="1361"/>
            <w:vAlign w:val="center"/>
          </w:tcPr>
          <w:p>
            <w:pPr>
              <w:keepNext/>
              <w:spacing w:after="40" w:before="20" w:line="240" w:lineRule="auto"/>
              <w:ind w:firstLine="0"/>
            </w:pPr>
            <w:r>
              <w:rPr>
                <w:rFonts w:ascii="Times New Roman" w:hAnsi="Times New Roman"/>
                <w:sz w:val="16"/>
              </w:rPr>
              <w:t>86.07</w:t>
            </w:r>
          </w:p>
        </w:tc>
        <w:tc>
          <w:tcPr>
            <w:tcW w:type="dxa" w:w="1378"/>
            <w:vAlign w:val="center"/>
          </w:tcPr>
          <w:p>
            <w:pPr>
              <w:keepNext/>
              <w:spacing w:after="40" w:before="20" w:line="240" w:lineRule="auto"/>
              <w:ind w:firstLine="0"/>
            </w:pPr>
            <w:r>
              <w:rPr>
                <w:rFonts w:ascii="Times New Roman" w:hAnsi="Times New Roman"/>
                <w:sz w:val="16"/>
              </w:rPr>
              <w:t>86.42</w:t>
            </w:r>
          </w:p>
        </w:tc>
      </w:tr>
      <w:tr>
        <w:trPr>
          <w:cantSplit/>
        </w:trPr>
        <w:tc>
          <w:tcPr>
            <w:tcW w:type="dxa" w:w="2154"/>
            <w:vAlign w:val="center"/>
          </w:tcPr>
          <w:p>
            <w:pPr>
              <w:keepNext/>
              <w:spacing w:after="40" w:before="20" w:line="240" w:lineRule="auto"/>
              <w:ind w:firstLine="0"/>
            </w:pPr>
            <w:r>
              <w:rPr>
                <w:rFonts w:ascii="Times New Roman" w:hAnsi="Times New Roman"/>
                <w:sz w:val="16"/>
              </w:rPr>
              <w:t>Demand grid</w:t>
            </w:r>
          </w:p>
        </w:tc>
        <w:tc>
          <w:tcPr>
            <w:tcW w:type="dxa" w:w="1361"/>
            <w:vAlign w:val="center"/>
          </w:tcPr>
          <w:p>
            <w:pPr>
              <w:keepNext/>
              <w:spacing w:after="40" w:before="20" w:line="240" w:lineRule="auto"/>
              <w:ind w:firstLine="0"/>
            </w:pPr>
            <w:r>
              <w:rPr>
                <w:rFonts w:ascii="Times New Roman" w:hAnsi="Times New Roman"/>
                <w:sz w:val="16"/>
              </w:rPr>
              <w:t>2.29</w:t>
            </w:r>
          </w:p>
        </w:tc>
        <w:tc>
          <w:tcPr>
            <w:tcW w:type="dxa" w:w="1378"/>
            <w:vAlign w:val="center"/>
          </w:tcPr>
          <w:p>
            <w:pPr>
              <w:keepNext/>
              <w:spacing w:after="40" w:before="20" w:line="240" w:lineRule="auto"/>
              <w:ind w:firstLine="0"/>
            </w:pPr>
            <w:r>
              <w:rPr>
                <w:rFonts w:ascii="Times New Roman" w:hAnsi="Times New Roman"/>
                <w:sz w:val="16"/>
              </w:rPr>
              <w:t>4.43</w:t>
            </w:r>
          </w:p>
        </w:tc>
      </w:tr>
      <w:tr>
        <w:trPr>
          <w:cantSplit/>
        </w:trPr>
        <w:tc>
          <w:tcPr>
            <w:tcW w:type="dxa" w:w="2154"/>
            <w:vAlign w:val="center"/>
          </w:tcPr>
          <w:p>
            <w:pPr>
              <w:keepNext/>
              <w:spacing w:after="40" w:before="20" w:line="240" w:lineRule="auto"/>
              <w:ind w:firstLine="0"/>
            </w:pPr>
            <w:r>
              <w:rPr>
                <w:rFonts w:ascii="Times New Roman" w:hAnsi="Times New Roman"/>
                <w:sz w:val="16"/>
              </w:rPr>
              <w:t>Road classes</w:t>
            </w:r>
          </w:p>
        </w:tc>
        <w:tc>
          <w:tcPr>
            <w:tcW w:type="dxa" w:w="1361"/>
            <w:vAlign w:val="center"/>
          </w:tcPr>
          <w:p>
            <w:pPr>
              <w:keepNext/>
              <w:spacing w:after="40" w:before="20" w:line="240" w:lineRule="auto"/>
              <w:ind w:firstLine="0"/>
            </w:pPr>
            <w:r>
              <w:rPr>
                <w:rFonts w:ascii="Times New Roman" w:hAnsi="Times New Roman"/>
                <w:sz w:val="16"/>
              </w:rPr>
              <w:t>2.11</w:t>
            </w:r>
          </w:p>
        </w:tc>
        <w:tc>
          <w:tcPr>
            <w:tcW w:type="dxa" w:w="1378"/>
            <w:vAlign w:val="center"/>
          </w:tcPr>
          <w:p>
            <w:pPr>
              <w:keepNext/>
              <w:spacing w:after="40" w:before="20" w:line="240" w:lineRule="auto"/>
              <w:ind w:firstLine="0"/>
            </w:pPr>
            <w:r>
              <w:rPr>
                <w:rFonts w:ascii="Times New Roman" w:hAnsi="Times New Roman"/>
                <w:sz w:val="16"/>
              </w:rPr>
              <w:t>2.60</w:t>
            </w:r>
          </w:p>
        </w:tc>
      </w:tr>
      <w:tr>
        <w:trPr>
          <w:cantSplit/>
        </w:trPr>
        <w:tc>
          <w:tcPr>
            <w:tcW w:type="dxa" w:w="2154"/>
            <w:vAlign w:val="center"/>
          </w:tcPr>
          <w:p>
            <w:pPr>
              <w:keepNext/>
              <w:spacing w:after="40" w:before="20" w:line="240" w:lineRule="auto"/>
              <w:ind w:firstLine="0"/>
            </w:pPr>
            <w:r>
              <w:rPr>
                <w:rFonts w:ascii="Times New Roman" w:hAnsi="Times New Roman"/>
                <w:sz w:val="16"/>
              </w:rPr>
              <w:t>Connectors</w:t>
            </w:r>
          </w:p>
        </w:tc>
        <w:tc>
          <w:tcPr>
            <w:tcW w:type="dxa" w:w="1361"/>
            <w:vAlign w:val="center"/>
          </w:tcPr>
          <w:p>
            <w:pPr>
              <w:keepNext/>
              <w:spacing w:after="40" w:before="20" w:line="240" w:lineRule="auto"/>
              <w:ind w:firstLine="0"/>
            </w:pPr>
            <w:r>
              <w:rPr>
                <w:rFonts w:ascii="Times New Roman" w:hAnsi="Times New Roman"/>
                <w:sz w:val="16"/>
              </w:rPr>
              <w:t>5.16</w:t>
            </w:r>
          </w:p>
        </w:tc>
        <w:tc>
          <w:tcPr>
            <w:tcW w:type="dxa" w:w="1378"/>
            <w:vAlign w:val="center"/>
          </w:tcPr>
          <w:p>
            <w:pPr>
              <w:keepNext/>
              <w:spacing w:after="40" w:before="20" w:line="240" w:lineRule="auto"/>
              <w:ind w:firstLine="0"/>
            </w:pPr>
            <w:r>
              <w:rPr>
                <w:rFonts w:ascii="Times New Roman" w:hAnsi="Times New Roman"/>
                <w:sz w:val="16"/>
              </w:rPr>
              <w:t>7.48</w:t>
            </w:r>
          </w:p>
        </w:tc>
      </w:tr>
      <w:tr>
        <w:trPr>
          <w:cantSplit/>
        </w:trPr>
        <w:tc>
          <w:tcPr>
            <w:tcW w:type="dxa" w:w="2154"/>
            <w:vAlign w:val="center"/>
          </w:tcPr>
          <w:p>
            <w:pPr>
              <w:keepNext/>
              <w:spacing w:after="40" w:before="20" w:line="240" w:lineRule="auto"/>
              <w:ind w:firstLine="0"/>
            </w:pPr>
            <w:r>
              <w:rPr>
                <w:rFonts w:ascii="Times New Roman" w:hAnsi="Times New Roman"/>
                <w:sz w:val="16"/>
              </w:rPr>
              <w:t>Road deletion</w:t>
            </w:r>
          </w:p>
        </w:tc>
        <w:tc>
          <w:tcPr>
            <w:tcW w:type="dxa" w:w="1361"/>
            <w:vAlign w:val="center"/>
          </w:tcPr>
          <w:p>
            <w:pPr>
              <w:keepNext/>
              <w:spacing w:after="40" w:before="20" w:line="240" w:lineRule="auto"/>
              <w:ind w:firstLine="0"/>
            </w:pPr>
            <w:r>
              <w:rPr>
                <w:rFonts w:ascii="Times New Roman" w:hAnsi="Times New Roman"/>
                <w:sz w:val="16"/>
              </w:rPr>
              <w:t>1.55</w:t>
            </w:r>
          </w:p>
        </w:tc>
        <w:tc>
          <w:tcPr>
            <w:tcW w:type="dxa" w:w="1378"/>
            <w:vAlign w:val="center"/>
          </w:tcPr>
          <w:p>
            <w:pPr>
              <w:keepNext/>
              <w:spacing w:after="40" w:before="20" w:line="240" w:lineRule="auto"/>
              <w:ind w:firstLine="0"/>
            </w:pPr>
            <w:r>
              <w:rPr>
                <w:rFonts w:ascii="Times New Roman" w:hAnsi="Times New Roman"/>
                <w:sz w:val="16"/>
              </w:rPr>
              <w:t>1.93</w:t>
            </w:r>
          </w:p>
        </w:tc>
      </w:tr>
      <w:tr>
        <w:trPr>
          <w:cantSplit/>
        </w:trPr>
        <w:tc>
          <w:tcPr>
            <w:tcW w:type="dxa" w:w="2154"/>
            <w:vAlign w:val="center"/>
          </w:tcPr>
          <w:p>
            <w:pPr>
              <w:spacing w:after="40" w:before="20" w:line="240" w:lineRule="auto"/>
              <w:ind w:firstLine="0"/>
            </w:pPr>
            <w:r>
              <w:rPr>
                <w:rFonts w:ascii="Times New Roman" w:hAnsi="Times New Roman"/>
                <w:sz w:val="16"/>
              </w:rPr>
              <w:t>Hub displacement</w:t>
            </w:r>
          </w:p>
        </w:tc>
        <w:tc>
          <w:tcPr>
            <w:tcW w:type="dxa" w:w="1361"/>
            <w:vAlign w:val="center"/>
          </w:tcPr>
          <w:p>
            <w:pPr>
              <w:spacing w:after="40" w:before="20" w:line="240" w:lineRule="auto"/>
              <w:ind w:firstLine="0"/>
            </w:pPr>
            <w:r>
              <w:rPr>
                <w:rFonts w:ascii="Times New Roman" w:hAnsi="Times New Roman"/>
                <w:sz w:val="16"/>
              </w:rPr>
              <w:t>0.00</w:t>
            </w:r>
          </w:p>
        </w:tc>
        <w:tc>
          <w:tcPr>
            <w:tcW w:type="dxa" w:w="1378"/>
            <w:vAlign w:val="center"/>
          </w:tcPr>
          <w:p>
            <w:pPr>
              <w:spacing w:after="40" w:before="20" w:line="240" w:lineRule="auto"/>
              <w:ind w:firstLine="0"/>
            </w:pPr>
            <w:r>
              <w:rPr>
                <w:rFonts w:ascii="Times New Roman" w:hAnsi="Times New Roman"/>
                <w:sz w:val="16"/>
              </w:rPr>
              <w:t>0.01</w:t>
            </w:r>
          </w:p>
        </w:tc>
      </w:tr>
    </w:tbl>
    <w:p>
      <w:pPr>
        <w:spacing w:after="0"/>
      </w:pPr>
    </w:p>
    <w:p>
      <w:pPr>
        <w:jc w:val="both"/>
      </w:pPr>
      <w:r>
        <w:t>The native classification yields 47 urban-centre components, 182 dense urban-cluster components, and 139 semi-dense urban-cluster components intersecting study-region cell centres. Under eight-connectivity the counts are 47, 182, and 132, respectively; the difference is confined to the semi-dense class. Twenty-five of 26 hub points fall within a classified component. Mangai remains unmatched and is not snapped to a neighbouring urban component. Table XIII gives examples of footprint-based population estimates. These are modelled GHS-POP estimates over morphological raster footprints, not observed census counts or empirical validation. The main covering demand remains the complete regional population grid, avoiding double-counting hub populations.</w:t>
      </w:r>
    </w:p>
    <w:p>
      <w:pPr>
        <w:keepNext/>
        <w:ind w:firstLine="0"/>
        <w:jc w:val="center"/>
      </w:pPr>
      <w:r>
        <w:rPr>
          <w:sz w:val="16"/>
        </w:rPr>
        <w:t>TABLE XIII</w:t>
        <w:br/>
        <w:t>EXAMPLES OF CLASSIFIED SETTLEMENT FOOTPRINTS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701"/>
        <w:gridCol w:w="1134"/>
        <w:gridCol w:w="2058"/>
      </w:tblGrid>
      <w:tr>
        <w:trPr>
          <w:cantSplit/>
          <w:tblHeader/>
        </w:trPr>
        <w:tc>
          <w:tcPr>
            <w:tcW w:type="dxa" w:w="1701"/>
            <w:vAlign w:val="center"/>
          </w:tcPr>
          <w:p>
            <w:pPr>
              <w:keepNext/>
              <w:spacing w:after="40" w:before="20" w:line="240" w:lineRule="auto"/>
              <w:ind w:firstLine="0"/>
            </w:pPr>
            <w:r>
              <w:rPr>
                <w:rFonts w:ascii="Times New Roman" w:hAnsi="Times New Roman"/>
                <w:b/>
                <w:sz w:val="16"/>
              </w:rPr>
              <w:t>Hub</w:t>
            </w:r>
          </w:p>
        </w:tc>
        <w:tc>
          <w:tcPr>
            <w:tcW w:type="dxa" w:w="1134"/>
            <w:vAlign w:val="center"/>
          </w:tcPr>
          <w:p>
            <w:pPr>
              <w:keepNext/>
              <w:spacing w:after="40" w:before="20" w:line="240" w:lineRule="auto"/>
              <w:ind w:firstLine="0"/>
            </w:pPr>
            <w:r>
              <w:rPr>
                <w:rFonts w:ascii="Times New Roman" w:hAnsi="Times New Roman"/>
                <w:b/>
                <w:sz w:val="16"/>
              </w:rPr>
              <w:t>Area km²</w:t>
            </w:r>
          </w:p>
        </w:tc>
        <w:tc>
          <w:tcPr>
            <w:tcW w:type="dxa" w:w="2058"/>
            <w:vAlign w:val="center"/>
          </w:tcPr>
          <w:p>
            <w:pPr>
              <w:keepNext/>
              <w:spacing w:after="40" w:before="20" w:line="240" w:lineRule="auto"/>
              <w:ind w:firstLine="0"/>
            </w:pPr>
            <w:r>
              <w:rPr>
                <w:rFonts w:ascii="Times New Roman" w:hAnsi="Times New Roman"/>
                <w:b/>
                <w:sz w:val="16"/>
              </w:rPr>
              <w:t>GHS POP 2025</w:t>
            </w:r>
          </w:p>
        </w:tc>
      </w:tr>
      <w:tr>
        <w:trPr>
          <w:cantSplit/>
        </w:trPr>
        <w:tc>
          <w:tcPr>
            <w:tcW w:type="dxa" w:w="1701"/>
            <w:vAlign w:val="center"/>
          </w:tcPr>
          <w:p>
            <w:pPr>
              <w:keepNext/>
              <w:spacing w:after="40" w:before="20" w:line="240" w:lineRule="auto"/>
              <w:ind w:firstLine="0"/>
            </w:pPr>
            <w:r>
              <w:rPr>
                <w:rFonts w:ascii="Times New Roman" w:hAnsi="Times New Roman"/>
                <w:sz w:val="16"/>
              </w:rPr>
              <w:t>Kinshasa</w:t>
            </w:r>
          </w:p>
        </w:tc>
        <w:tc>
          <w:tcPr>
            <w:tcW w:type="dxa" w:w="1134"/>
            <w:vAlign w:val="center"/>
          </w:tcPr>
          <w:p>
            <w:pPr>
              <w:keepNext/>
              <w:spacing w:after="40" w:before="20" w:line="240" w:lineRule="auto"/>
              <w:ind w:firstLine="0"/>
            </w:pPr>
            <w:r>
              <w:rPr>
                <w:rFonts w:ascii="Times New Roman" w:hAnsi="Times New Roman"/>
                <w:sz w:val="16"/>
              </w:rPr>
              <w:t>501</w:t>
            </w:r>
          </w:p>
        </w:tc>
        <w:tc>
          <w:tcPr>
            <w:tcW w:type="dxa" w:w="2058"/>
            <w:vAlign w:val="center"/>
          </w:tcPr>
          <w:p>
            <w:pPr>
              <w:keepNext/>
              <w:spacing w:after="40" w:before="20" w:line="240" w:lineRule="auto"/>
              <w:ind w:firstLine="0"/>
            </w:pPr>
            <w:r>
              <w:rPr>
                <w:rFonts w:ascii="Times New Roman" w:hAnsi="Times New Roman"/>
                <w:sz w:val="16"/>
              </w:rPr>
              <w:t>12,960,942</w:t>
            </w:r>
          </w:p>
        </w:tc>
      </w:tr>
      <w:tr>
        <w:trPr>
          <w:cantSplit/>
        </w:trPr>
        <w:tc>
          <w:tcPr>
            <w:tcW w:type="dxa" w:w="1701"/>
            <w:vAlign w:val="center"/>
          </w:tcPr>
          <w:p>
            <w:pPr>
              <w:keepNext/>
              <w:spacing w:after="40" w:before="20" w:line="240" w:lineRule="auto"/>
              <w:ind w:firstLine="0"/>
            </w:pPr>
            <w:r>
              <w:rPr>
                <w:rFonts w:ascii="Times New Roman" w:hAnsi="Times New Roman"/>
                <w:sz w:val="16"/>
              </w:rPr>
              <w:t>Matadi</w:t>
            </w:r>
          </w:p>
        </w:tc>
        <w:tc>
          <w:tcPr>
            <w:tcW w:type="dxa" w:w="1134"/>
            <w:vAlign w:val="center"/>
          </w:tcPr>
          <w:p>
            <w:pPr>
              <w:keepNext/>
              <w:spacing w:after="40" w:before="20" w:line="240" w:lineRule="auto"/>
              <w:ind w:firstLine="0"/>
            </w:pPr>
            <w:r>
              <w:rPr>
                <w:rFonts w:ascii="Times New Roman" w:hAnsi="Times New Roman"/>
                <w:sz w:val="16"/>
              </w:rPr>
              <w:t>43</w:t>
            </w:r>
          </w:p>
        </w:tc>
        <w:tc>
          <w:tcPr>
            <w:tcW w:type="dxa" w:w="2058"/>
            <w:vAlign w:val="center"/>
          </w:tcPr>
          <w:p>
            <w:pPr>
              <w:keepNext/>
              <w:spacing w:after="40" w:before="20" w:line="240" w:lineRule="auto"/>
              <w:ind w:firstLine="0"/>
            </w:pPr>
            <w:r>
              <w:rPr>
                <w:rFonts w:ascii="Times New Roman" w:hAnsi="Times New Roman"/>
                <w:sz w:val="16"/>
              </w:rPr>
              <w:t>415,704</w:t>
            </w:r>
          </w:p>
        </w:tc>
      </w:tr>
      <w:tr>
        <w:trPr>
          <w:cantSplit/>
        </w:trPr>
        <w:tc>
          <w:tcPr>
            <w:tcW w:type="dxa" w:w="1701"/>
            <w:vAlign w:val="center"/>
          </w:tcPr>
          <w:p>
            <w:pPr>
              <w:keepNext/>
              <w:spacing w:after="40" w:before="20" w:line="240" w:lineRule="auto"/>
              <w:ind w:firstLine="0"/>
            </w:pPr>
            <w:r>
              <w:rPr>
                <w:rFonts w:ascii="Times New Roman" w:hAnsi="Times New Roman"/>
                <w:sz w:val="16"/>
              </w:rPr>
              <w:t>Mbandaka</w:t>
            </w:r>
          </w:p>
        </w:tc>
        <w:tc>
          <w:tcPr>
            <w:tcW w:type="dxa" w:w="1134"/>
            <w:vAlign w:val="center"/>
          </w:tcPr>
          <w:p>
            <w:pPr>
              <w:keepNext/>
              <w:spacing w:after="40" w:before="20" w:line="240" w:lineRule="auto"/>
              <w:ind w:firstLine="0"/>
            </w:pPr>
            <w:r>
              <w:rPr>
                <w:rFonts w:ascii="Times New Roman" w:hAnsi="Times New Roman"/>
                <w:sz w:val="16"/>
              </w:rPr>
              <w:t>41</w:t>
            </w:r>
          </w:p>
        </w:tc>
        <w:tc>
          <w:tcPr>
            <w:tcW w:type="dxa" w:w="2058"/>
            <w:vAlign w:val="center"/>
          </w:tcPr>
          <w:p>
            <w:pPr>
              <w:keepNext/>
              <w:spacing w:after="40" w:before="20" w:line="240" w:lineRule="auto"/>
              <w:ind w:firstLine="0"/>
            </w:pPr>
            <w:r>
              <w:rPr>
                <w:rFonts w:ascii="Times New Roman" w:hAnsi="Times New Roman"/>
                <w:sz w:val="16"/>
              </w:rPr>
              <w:t>464,868</w:t>
            </w:r>
          </w:p>
        </w:tc>
      </w:tr>
      <w:tr>
        <w:trPr>
          <w:cantSplit/>
        </w:trPr>
        <w:tc>
          <w:tcPr>
            <w:tcW w:type="dxa" w:w="1701"/>
            <w:vAlign w:val="center"/>
          </w:tcPr>
          <w:p>
            <w:pPr>
              <w:keepNext/>
              <w:spacing w:after="40" w:before="20" w:line="240" w:lineRule="auto"/>
              <w:ind w:firstLine="0"/>
            </w:pPr>
            <w:r>
              <w:rPr>
                <w:rFonts w:ascii="Times New Roman" w:hAnsi="Times New Roman"/>
                <w:sz w:val="16"/>
              </w:rPr>
              <w:t>Kikwit</w:t>
            </w:r>
          </w:p>
        </w:tc>
        <w:tc>
          <w:tcPr>
            <w:tcW w:type="dxa" w:w="1134"/>
            <w:vAlign w:val="center"/>
          </w:tcPr>
          <w:p>
            <w:pPr>
              <w:keepNext/>
              <w:spacing w:after="40" w:before="20" w:line="240" w:lineRule="auto"/>
              <w:ind w:firstLine="0"/>
            </w:pPr>
            <w:r>
              <w:rPr>
                <w:rFonts w:ascii="Times New Roman" w:hAnsi="Times New Roman"/>
                <w:sz w:val="16"/>
              </w:rPr>
              <w:t>72</w:t>
            </w:r>
          </w:p>
        </w:tc>
        <w:tc>
          <w:tcPr>
            <w:tcW w:type="dxa" w:w="2058"/>
            <w:vAlign w:val="center"/>
          </w:tcPr>
          <w:p>
            <w:pPr>
              <w:keepNext/>
              <w:spacing w:after="40" w:before="20" w:line="240" w:lineRule="auto"/>
              <w:ind w:firstLine="0"/>
            </w:pPr>
            <w:r>
              <w:rPr>
                <w:rFonts w:ascii="Times New Roman" w:hAnsi="Times New Roman"/>
                <w:sz w:val="16"/>
              </w:rPr>
              <w:t>488,734</w:t>
            </w:r>
          </w:p>
        </w:tc>
      </w:tr>
      <w:tr>
        <w:trPr>
          <w:cantSplit/>
        </w:trPr>
        <w:tc>
          <w:tcPr>
            <w:tcW w:type="dxa" w:w="1701"/>
            <w:vAlign w:val="center"/>
          </w:tcPr>
          <w:p>
            <w:pPr>
              <w:keepNext/>
              <w:spacing w:after="40" w:before="20" w:line="240" w:lineRule="auto"/>
              <w:ind w:firstLine="0"/>
            </w:pPr>
            <w:r>
              <w:rPr>
                <w:rFonts w:ascii="Times New Roman" w:hAnsi="Times New Roman"/>
                <w:sz w:val="16"/>
              </w:rPr>
              <w:t>Kenge</w:t>
            </w:r>
          </w:p>
        </w:tc>
        <w:tc>
          <w:tcPr>
            <w:tcW w:type="dxa" w:w="1134"/>
            <w:vAlign w:val="center"/>
          </w:tcPr>
          <w:p>
            <w:pPr>
              <w:keepNext/>
              <w:spacing w:after="40" w:before="20" w:line="240" w:lineRule="auto"/>
              <w:ind w:firstLine="0"/>
            </w:pPr>
            <w:r>
              <w:rPr>
                <w:rFonts w:ascii="Times New Roman" w:hAnsi="Times New Roman"/>
                <w:sz w:val="16"/>
              </w:rPr>
              <w:t>20</w:t>
            </w:r>
          </w:p>
        </w:tc>
        <w:tc>
          <w:tcPr>
            <w:tcW w:type="dxa" w:w="2058"/>
            <w:vAlign w:val="center"/>
          </w:tcPr>
          <w:p>
            <w:pPr>
              <w:keepNext/>
              <w:spacing w:after="40" w:before="20" w:line="240" w:lineRule="auto"/>
              <w:ind w:firstLine="0"/>
            </w:pPr>
            <w:r>
              <w:rPr>
                <w:rFonts w:ascii="Times New Roman" w:hAnsi="Times New Roman"/>
                <w:sz w:val="16"/>
              </w:rPr>
              <w:t>108,940</w:t>
            </w:r>
          </w:p>
        </w:tc>
      </w:tr>
      <w:tr>
        <w:trPr>
          <w:cantSplit/>
        </w:trPr>
        <w:tc>
          <w:tcPr>
            <w:tcW w:type="dxa" w:w="1701"/>
            <w:vAlign w:val="center"/>
          </w:tcPr>
          <w:p>
            <w:pPr>
              <w:spacing w:after="40" w:before="20" w:line="240" w:lineRule="auto"/>
              <w:ind w:firstLine="0"/>
            </w:pPr>
            <w:r>
              <w:rPr>
                <w:rFonts w:ascii="Times New Roman" w:hAnsi="Times New Roman"/>
                <w:sz w:val="16"/>
              </w:rPr>
              <w:t>Inongo</w:t>
            </w:r>
          </w:p>
        </w:tc>
        <w:tc>
          <w:tcPr>
            <w:tcW w:type="dxa" w:w="1134"/>
            <w:vAlign w:val="center"/>
          </w:tcPr>
          <w:p>
            <w:pPr>
              <w:spacing w:after="40" w:before="20" w:line="240" w:lineRule="auto"/>
              <w:ind w:firstLine="0"/>
            </w:pPr>
            <w:r>
              <w:rPr>
                <w:rFonts w:ascii="Times New Roman" w:hAnsi="Times New Roman"/>
                <w:sz w:val="16"/>
              </w:rPr>
              <w:t>12</w:t>
            </w:r>
          </w:p>
        </w:tc>
        <w:tc>
          <w:tcPr>
            <w:tcW w:type="dxa" w:w="2058"/>
            <w:vAlign w:val="center"/>
          </w:tcPr>
          <w:p>
            <w:pPr>
              <w:spacing w:after="40" w:before="20" w:line="240" w:lineRule="auto"/>
              <w:ind w:firstLine="0"/>
            </w:pPr>
            <w:r>
              <w:rPr>
                <w:rFonts w:ascii="Times New Roman" w:hAnsi="Times New Roman"/>
                <w:sz w:val="16"/>
              </w:rPr>
              <w:t>48,529</w:t>
            </w:r>
          </w:p>
        </w:tc>
      </w:tr>
    </w:tbl>
    <w:p>
      <w:pPr>
        <w:spacing w:after="0"/>
      </w:pPr>
    </w:p>
    <w:p>
      <w:pPr>
        <w:pStyle w:val="Heading2"/>
      </w:pPr>
      <w:r>
        <w:t>I. External Road Input Check</w:t>
      </w:r>
    </w:p>
    <w:p>
      <w:r>
        <w:t>The clipped satellite reference contains 12,798 line fragments totalling 2,062.53 km (Table XIV). At a 100-m tolerance, length-weighted agreement is 4.91% for the main-road set, 20.93% with tracks, and 20.96% for all mapped classes. At 250 m, these shares are 5.58%, 24.43%, and 24.52%. Across both reference inventories and all road-set/tolerance combinations, changing midpoint sampling from 25 to 50 m changes agreement by at most 0.113 percentage points. Low agreement provides an external warning about representation of recently developed forest roads; it cannot be interpreted as a national OSM completeness estimate. Tracks dominate the additional matches. Detected logging roads may be private, seasonal, abandoned, or unsuitable for public access, so unmatched lines are not inserted into the operational graph automatically. Their unmatched fraction is not substituted for the model’s assumed 1% random-deletion rate.</w:t>
      </w:r>
    </w:p>
    <w:p>
      <w:pPr>
        <w:keepNext/>
        <w:ind w:firstLine="0"/>
        <w:jc w:val="center"/>
      </w:pPr>
      <w:r>
        <w:rPr>
          <w:sz w:val="16"/>
        </w:rPr>
        <w:t>TABLE XIV</w:t>
        <w:br/>
        <w:t>SATELLITE FOREST ROAD LENGTH AGREEMENT PERCENT</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718"/>
        <w:gridCol w:w="794"/>
        <w:gridCol w:w="794"/>
        <w:gridCol w:w="794"/>
        <w:gridCol w:w="794"/>
      </w:tblGrid>
      <w:tr>
        <w:trPr>
          <w:cantSplit/>
          <w:tblHeader/>
        </w:trPr>
        <w:tc>
          <w:tcPr>
            <w:tcW w:type="dxa" w:w="1718"/>
            <w:vAlign w:val="center"/>
          </w:tcPr>
          <w:p>
            <w:pPr>
              <w:keepNext/>
              <w:spacing w:after="40" w:before="20" w:line="240" w:lineRule="auto"/>
              <w:ind w:firstLine="0"/>
            </w:pPr>
            <w:r>
              <w:rPr>
                <w:rFonts w:ascii="Times New Roman" w:hAnsi="Times New Roman"/>
                <w:b/>
                <w:sz w:val="16"/>
              </w:rPr>
              <w:t>OSM set</w:t>
            </w:r>
          </w:p>
        </w:tc>
        <w:tc>
          <w:tcPr>
            <w:tcW w:type="dxa" w:w="794"/>
            <w:vAlign w:val="center"/>
          </w:tcPr>
          <w:p>
            <w:pPr>
              <w:keepNext/>
              <w:spacing w:after="40" w:before="20" w:line="240" w:lineRule="auto"/>
              <w:ind w:firstLine="0"/>
            </w:pPr>
            <w:r>
              <w:rPr>
                <w:rFonts w:ascii="Times New Roman" w:hAnsi="Times New Roman"/>
                <w:b/>
                <w:sz w:val="16"/>
              </w:rPr>
              <w:t>25 m</w:t>
            </w:r>
          </w:p>
        </w:tc>
        <w:tc>
          <w:tcPr>
            <w:tcW w:type="dxa" w:w="794"/>
            <w:vAlign w:val="center"/>
          </w:tcPr>
          <w:p>
            <w:pPr>
              <w:keepNext/>
              <w:spacing w:after="40" w:before="20" w:line="240" w:lineRule="auto"/>
              <w:ind w:firstLine="0"/>
            </w:pPr>
            <w:r>
              <w:rPr>
                <w:rFonts w:ascii="Times New Roman" w:hAnsi="Times New Roman"/>
                <w:b/>
                <w:sz w:val="16"/>
              </w:rPr>
              <w:t>50 m</w:t>
            </w:r>
          </w:p>
        </w:tc>
        <w:tc>
          <w:tcPr>
            <w:tcW w:type="dxa" w:w="794"/>
            <w:vAlign w:val="center"/>
          </w:tcPr>
          <w:p>
            <w:pPr>
              <w:keepNext/>
              <w:spacing w:after="40" w:before="20" w:line="240" w:lineRule="auto"/>
              <w:ind w:firstLine="0"/>
            </w:pPr>
            <w:r>
              <w:rPr>
                <w:rFonts w:ascii="Times New Roman" w:hAnsi="Times New Roman"/>
                <w:b/>
                <w:sz w:val="16"/>
              </w:rPr>
              <w:t>100 m</w:t>
            </w:r>
          </w:p>
        </w:tc>
        <w:tc>
          <w:tcPr>
            <w:tcW w:type="dxa" w:w="794"/>
            <w:vAlign w:val="center"/>
          </w:tcPr>
          <w:p>
            <w:pPr>
              <w:keepNext/>
              <w:spacing w:after="40" w:before="20" w:line="240" w:lineRule="auto"/>
              <w:ind w:firstLine="0"/>
            </w:pPr>
            <w:r>
              <w:rPr>
                <w:rFonts w:ascii="Times New Roman" w:hAnsi="Times New Roman"/>
                <w:b/>
                <w:sz w:val="16"/>
              </w:rPr>
              <w:t>250 m</w:t>
            </w:r>
          </w:p>
        </w:tc>
      </w:tr>
      <w:tr>
        <w:trPr>
          <w:cantSplit/>
        </w:trPr>
        <w:tc>
          <w:tcPr>
            <w:tcW w:type="dxa" w:w="1718"/>
            <w:vAlign w:val="center"/>
          </w:tcPr>
          <w:p>
            <w:pPr>
              <w:keepNext/>
              <w:spacing w:after="40" w:before="20" w:line="240" w:lineRule="auto"/>
              <w:ind w:firstLine="0"/>
            </w:pPr>
            <w:r>
              <w:rPr>
                <w:rFonts w:ascii="Times New Roman" w:hAnsi="Times New Roman"/>
                <w:sz w:val="16"/>
              </w:rPr>
              <w:t>Main classes</w:t>
            </w:r>
          </w:p>
        </w:tc>
        <w:tc>
          <w:tcPr>
            <w:tcW w:type="dxa" w:w="794"/>
            <w:vAlign w:val="center"/>
          </w:tcPr>
          <w:p>
            <w:pPr>
              <w:keepNext/>
              <w:spacing w:after="40" w:before="20" w:line="240" w:lineRule="auto"/>
              <w:ind w:firstLine="0"/>
            </w:pPr>
            <w:r>
              <w:rPr>
                <w:rFonts w:ascii="Times New Roman" w:hAnsi="Times New Roman"/>
                <w:sz w:val="16"/>
              </w:rPr>
              <w:t>4.19</w:t>
            </w:r>
          </w:p>
        </w:tc>
        <w:tc>
          <w:tcPr>
            <w:tcW w:type="dxa" w:w="794"/>
            <w:vAlign w:val="center"/>
          </w:tcPr>
          <w:p>
            <w:pPr>
              <w:keepNext/>
              <w:spacing w:after="40" w:before="20" w:line="240" w:lineRule="auto"/>
              <w:ind w:firstLine="0"/>
            </w:pPr>
            <w:r>
              <w:rPr>
                <w:rFonts w:ascii="Times New Roman" w:hAnsi="Times New Roman"/>
                <w:sz w:val="16"/>
              </w:rPr>
              <w:t>4.63</w:t>
            </w:r>
          </w:p>
        </w:tc>
        <w:tc>
          <w:tcPr>
            <w:tcW w:type="dxa" w:w="794"/>
            <w:vAlign w:val="center"/>
          </w:tcPr>
          <w:p>
            <w:pPr>
              <w:keepNext/>
              <w:spacing w:after="40" w:before="20" w:line="240" w:lineRule="auto"/>
              <w:ind w:firstLine="0"/>
            </w:pPr>
            <w:r>
              <w:rPr>
                <w:rFonts w:ascii="Times New Roman" w:hAnsi="Times New Roman"/>
                <w:sz w:val="16"/>
              </w:rPr>
              <w:t>4.91</w:t>
            </w:r>
          </w:p>
        </w:tc>
        <w:tc>
          <w:tcPr>
            <w:tcW w:type="dxa" w:w="794"/>
            <w:vAlign w:val="center"/>
          </w:tcPr>
          <w:p>
            <w:pPr>
              <w:keepNext/>
              <w:spacing w:after="40" w:before="20" w:line="240" w:lineRule="auto"/>
              <w:ind w:firstLine="0"/>
            </w:pPr>
            <w:r>
              <w:rPr>
                <w:rFonts w:ascii="Times New Roman" w:hAnsi="Times New Roman"/>
                <w:sz w:val="16"/>
              </w:rPr>
              <w:t>5.58</w:t>
            </w:r>
          </w:p>
        </w:tc>
      </w:tr>
      <w:tr>
        <w:trPr>
          <w:cantSplit/>
        </w:trPr>
        <w:tc>
          <w:tcPr>
            <w:tcW w:type="dxa" w:w="1718"/>
            <w:vAlign w:val="center"/>
          </w:tcPr>
          <w:p>
            <w:pPr>
              <w:keepNext/>
              <w:spacing w:after="40" w:before="20" w:line="240" w:lineRule="auto"/>
              <w:ind w:firstLine="0"/>
            </w:pPr>
            <w:r>
              <w:rPr>
                <w:rFonts w:ascii="Times New Roman" w:hAnsi="Times New Roman"/>
                <w:sz w:val="16"/>
              </w:rPr>
              <w:t>Including tracks</w:t>
            </w:r>
          </w:p>
        </w:tc>
        <w:tc>
          <w:tcPr>
            <w:tcW w:type="dxa" w:w="794"/>
            <w:vAlign w:val="center"/>
          </w:tcPr>
          <w:p>
            <w:pPr>
              <w:keepNext/>
              <w:spacing w:after="40" w:before="20" w:line="240" w:lineRule="auto"/>
              <w:ind w:firstLine="0"/>
            </w:pPr>
            <w:r>
              <w:rPr>
                <w:rFonts w:ascii="Times New Roman" w:hAnsi="Times New Roman"/>
                <w:sz w:val="16"/>
              </w:rPr>
              <w:t>16.41</w:t>
            </w:r>
          </w:p>
        </w:tc>
        <w:tc>
          <w:tcPr>
            <w:tcW w:type="dxa" w:w="794"/>
            <w:vAlign w:val="center"/>
          </w:tcPr>
          <w:p>
            <w:pPr>
              <w:keepNext/>
              <w:spacing w:after="40" w:before="20" w:line="240" w:lineRule="auto"/>
              <w:ind w:firstLine="0"/>
            </w:pPr>
            <w:r>
              <w:rPr>
                <w:rFonts w:ascii="Times New Roman" w:hAnsi="Times New Roman"/>
                <w:sz w:val="16"/>
              </w:rPr>
              <w:t>18.68</w:t>
            </w:r>
          </w:p>
        </w:tc>
        <w:tc>
          <w:tcPr>
            <w:tcW w:type="dxa" w:w="794"/>
            <w:vAlign w:val="center"/>
          </w:tcPr>
          <w:p>
            <w:pPr>
              <w:keepNext/>
              <w:spacing w:after="40" w:before="20" w:line="240" w:lineRule="auto"/>
              <w:ind w:firstLine="0"/>
            </w:pPr>
            <w:r>
              <w:rPr>
                <w:rFonts w:ascii="Times New Roman" w:hAnsi="Times New Roman"/>
                <w:sz w:val="16"/>
              </w:rPr>
              <w:t>20.93</w:t>
            </w:r>
          </w:p>
        </w:tc>
        <w:tc>
          <w:tcPr>
            <w:tcW w:type="dxa" w:w="794"/>
            <w:vAlign w:val="center"/>
          </w:tcPr>
          <w:p>
            <w:pPr>
              <w:keepNext/>
              <w:spacing w:after="40" w:before="20" w:line="240" w:lineRule="auto"/>
              <w:ind w:firstLine="0"/>
            </w:pPr>
            <w:r>
              <w:rPr>
                <w:rFonts w:ascii="Times New Roman" w:hAnsi="Times New Roman"/>
                <w:sz w:val="16"/>
              </w:rPr>
              <w:t>24.43</w:t>
            </w:r>
          </w:p>
        </w:tc>
      </w:tr>
      <w:tr>
        <w:trPr>
          <w:cantSplit/>
        </w:trPr>
        <w:tc>
          <w:tcPr>
            <w:tcW w:type="dxa" w:w="1718"/>
            <w:vAlign w:val="center"/>
          </w:tcPr>
          <w:p>
            <w:pPr>
              <w:spacing w:after="40" w:before="20" w:line="240" w:lineRule="auto"/>
              <w:ind w:firstLine="0"/>
            </w:pPr>
            <w:r>
              <w:rPr>
                <w:rFonts w:ascii="Times New Roman" w:hAnsi="Times New Roman"/>
                <w:sz w:val="16"/>
              </w:rPr>
              <w:t>All mapped classes</w:t>
            </w:r>
          </w:p>
        </w:tc>
        <w:tc>
          <w:tcPr>
            <w:tcW w:type="dxa" w:w="794"/>
            <w:vAlign w:val="center"/>
          </w:tcPr>
          <w:p>
            <w:pPr>
              <w:spacing w:after="40" w:before="20" w:line="240" w:lineRule="auto"/>
              <w:ind w:firstLine="0"/>
            </w:pPr>
            <w:r>
              <w:rPr>
                <w:rFonts w:ascii="Times New Roman" w:hAnsi="Times New Roman"/>
                <w:sz w:val="16"/>
              </w:rPr>
              <w:t>16.42</w:t>
            </w:r>
          </w:p>
        </w:tc>
        <w:tc>
          <w:tcPr>
            <w:tcW w:type="dxa" w:w="794"/>
            <w:vAlign w:val="center"/>
          </w:tcPr>
          <w:p>
            <w:pPr>
              <w:spacing w:after="40" w:before="20" w:line="240" w:lineRule="auto"/>
              <w:ind w:firstLine="0"/>
            </w:pPr>
            <w:r>
              <w:rPr>
                <w:rFonts w:ascii="Times New Roman" w:hAnsi="Times New Roman"/>
                <w:sz w:val="16"/>
              </w:rPr>
              <w:t>18.70</w:t>
            </w:r>
          </w:p>
        </w:tc>
        <w:tc>
          <w:tcPr>
            <w:tcW w:type="dxa" w:w="794"/>
            <w:vAlign w:val="center"/>
          </w:tcPr>
          <w:p>
            <w:pPr>
              <w:spacing w:after="40" w:before="20" w:line="240" w:lineRule="auto"/>
              <w:ind w:firstLine="0"/>
            </w:pPr>
            <w:r>
              <w:rPr>
                <w:rFonts w:ascii="Times New Roman" w:hAnsi="Times New Roman"/>
                <w:sz w:val="16"/>
              </w:rPr>
              <w:t>20.96</w:t>
            </w:r>
          </w:p>
        </w:tc>
        <w:tc>
          <w:tcPr>
            <w:tcW w:type="dxa" w:w="794"/>
            <w:vAlign w:val="center"/>
          </w:tcPr>
          <w:p>
            <w:pPr>
              <w:spacing w:after="40" w:before="20" w:line="240" w:lineRule="auto"/>
              <w:ind w:firstLine="0"/>
            </w:pPr>
            <w:r>
              <w:rPr>
                <w:rFonts w:ascii="Times New Roman" w:hAnsi="Times New Roman"/>
                <w:sz w:val="16"/>
              </w:rPr>
              <w:t>24.52</w:t>
            </w:r>
          </w:p>
        </w:tc>
      </w:tr>
    </w:tbl>
    <w:p>
      <w:pPr>
        <w:spacing w:after="0"/>
      </w:pPr>
    </w:p>
    <w:p>
      <w:r>
        <w:t>The World Bank AICD road file supplies 859 records [35]. After removing two zero-ID dummy records and excluding the −99 missing sentinel, only five segments have positive AADT values: one value of 510 and four repeated values of 966. Documentation dates traffic to 2004, describes units as passenger-vehicle units, and warns that only one road has traffic information. These are not five independent count stations. The five segments total 323.36 km of projected reference geometry; main-road spatial agreement is 84.30% at 100 m and 92.55% at 250 m. Because this historical catalogue may share source cartography with OSM, this is a corridor-consistency benchmark, not an independent predictive test. The study does not predict AADT, so neither traffic value is used to calculate model error or validate population coverage.</w:t>
      </w:r>
    </w:p>
    <w:p>
      <w:r>
        <w:t>This external evidence partly addresses input validity, but does not fulfil validation of the 100-km population-coverage target. Neither satellite road detections nor historical traffic counts reveal which households use the selected hubs. That target still requires geographically matched journey/access observations or a defensible secondary accessibility benchmark. The satellite result also shows why uniform deletion alone cannot be interpreted as a calibrated network-error distribution.</w:t>
      </w:r>
    </w:p>
    <w:p>
      <w:pPr>
        <w:pStyle w:val="Heading2"/>
        <w:ind w:firstLine="0"/>
        <w:jc w:val="both"/>
      </w:pPr>
      <w:r>
        <w:t>J. Route Discrepancies and Conditional Spatial Variation</w:t>
      </w:r>
    </w:p>
    <w:p>
      <w:pPr>
        <w:jc w:val="both"/>
      </w:pPr>
      <w:r>
        <w:t>Table XV reports forward road paths; reverse paths differ by less than 0.08 km for these pairs. Endpoint offsets are below 0.014 km and cannot explain the discrepancies. Kinshasa–Matadi is 336.03 km in the main graph, 5.34% below the published 355 km. Kinshasa–Bandundu is 922.62 km, 88.29% above 490 km; inclusion of tracks reduces it to 879.89 km but leaves a 79.57% difference. Section III.K tests the omitted Bandundu ferry as a structural explanation; route definitions and epoch differences remain additional limitations. No connector is inserted merely to force agreement. The Bandundu result prevents a general claim that the graph produces externally validated road distances.</w:t>
      </w:r>
    </w:p>
    <w:p>
      <w:pPr>
        <w:keepNext/>
        <w:ind w:firstLine="0"/>
        <w:jc w:val="center"/>
      </w:pPr>
      <w:r>
        <w:rPr>
          <w:sz w:val="16"/>
        </w:rPr>
        <w:t>TABLE XV</w:t>
        <w:br/>
        <w:t>PUBLISHED AND MODELLED FORWARD ROAD DISTANCES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644"/>
        <w:gridCol w:w="1020"/>
        <w:gridCol w:w="1020"/>
        <w:gridCol w:w="1208"/>
      </w:tblGrid>
      <w:tr>
        <w:trPr>
          <w:cantSplit/>
          <w:tblHeader/>
        </w:trPr>
        <w:tc>
          <w:tcPr>
            <w:tcW w:type="dxa" w:w="1644"/>
            <w:vAlign w:val="center"/>
          </w:tcPr>
          <w:p>
            <w:pPr>
              <w:keepNext/>
              <w:spacing w:after="40" w:before="20" w:line="240" w:lineRule="auto"/>
              <w:ind w:firstLine="0"/>
            </w:pPr>
            <w:r>
              <w:rPr>
                <w:rFonts w:ascii="Times New Roman" w:hAnsi="Times New Roman"/>
                <w:b/>
                <w:sz w:val="16"/>
              </w:rPr>
              <w:t>Route from Kinshasa</w:t>
            </w:r>
          </w:p>
        </w:tc>
        <w:tc>
          <w:tcPr>
            <w:tcW w:type="dxa" w:w="1020"/>
            <w:vAlign w:val="center"/>
          </w:tcPr>
          <w:p>
            <w:pPr>
              <w:keepNext/>
              <w:spacing w:after="40" w:before="20" w:line="240" w:lineRule="auto"/>
              <w:ind w:firstLine="0"/>
            </w:pPr>
            <w:r>
              <w:rPr>
                <w:rFonts w:ascii="Times New Roman" w:hAnsi="Times New Roman"/>
                <w:b/>
                <w:sz w:val="16"/>
              </w:rPr>
              <w:t>Published km</w:t>
            </w:r>
          </w:p>
        </w:tc>
        <w:tc>
          <w:tcPr>
            <w:tcW w:type="dxa" w:w="1020"/>
            <w:vAlign w:val="center"/>
          </w:tcPr>
          <w:p>
            <w:pPr>
              <w:keepNext/>
              <w:spacing w:after="40" w:before="20" w:line="240" w:lineRule="auto"/>
              <w:ind w:firstLine="0"/>
            </w:pPr>
            <w:r>
              <w:rPr>
                <w:rFonts w:ascii="Times New Roman" w:hAnsi="Times New Roman"/>
                <w:b/>
                <w:sz w:val="16"/>
              </w:rPr>
              <w:t>Main km</w:t>
            </w:r>
          </w:p>
        </w:tc>
        <w:tc>
          <w:tcPr>
            <w:tcW w:type="dxa" w:w="1208"/>
            <w:vAlign w:val="center"/>
          </w:tcPr>
          <w:p>
            <w:pPr>
              <w:keepNext/>
              <w:spacing w:after="40" w:before="20" w:line="240" w:lineRule="auto"/>
              <w:ind w:firstLine="0"/>
            </w:pPr>
            <w:r>
              <w:rPr>
                <w:rFonts w:ascii="Times New Roman" w:hAnsi="Times New Roman"/>
                <w:b/>
                <w:sz w:val="16"/>
              </w:rPr>
              <w:t>With tracks km</w:t>
            </w:r>
          </w:p>
        </w:tc>
      </w:tr>
      <w:tr>
        <w:trPr>
          <w:cantSplit/>
        </w:trPr>
        <w:tc>
          <w:tcPr>
            <w:tcW w:type="dxa" w:w="1644"/>
            <w:vAlign w:val="center"/>
          </w:tcPr>
          <w:p>
            <w:pPr>
              <w:keepNext/>
              <w:spacing w:after="40" w:before="20" w:line="240" w:lineRule="auto"/>
              <w:ind w:firstLine="0"/>
            </w:pPr>
            <w:r>
              <w:rPr>
                <w:rFonts w:ascii="Times New Roman" w:hAnsi="Times New Roman"/>
                <w:sz w:val="16"/>
              </w:rPr>
              <w:t>Matadi</w:t>
            </w:r>
          </w:p>
        </w:tc>
        <w:tc>
          <w:tcPr>
            <w:tcW w:type="dxa" w:w="1020"/>
            <w:vAlign w:val="center"/>
          </w:tcPr>
          <w:p>
            <w:pPr>
              <w:keepNext/>
              <w:spacing w:after="40" w:before="20" w:line="240" w:lineRule="auto"/>
              <w:ind w:firstLine="0"/>
            </w:pPr>
            <w:r>
              <w:rPr>
                <w:rFonts w:ascii="Times New Roman" w:hAnsi="Times New Roman"/>
                <w:sz w:val="16"/>
              </w:rPr>
              <w:t>355</w:t>
            </w:r>
          </w:p>
        </w:tc>
        <w:tc>
          <w:tcPr>
            <w:tcW w:type="dxa" w:w="1020"/>
            <w:vAlign w:val="center"/>
          </w:tcPr>
          <w:p>
            <w:pPr>
              <w:keepNext/>
              <w:spacing w:after="40" w:before="20" w:line="240" w:lineRule="auto"/>
              <w:ind w:firstLine="0"/>
            </w:pPr>
            <w:r>
              <w:rPr>
                <w:rFonts w:ascii="Times New Roman" w:hAnsi="Times New Roman"/>
                <w:sz w:val="16"/>
              </w:rPr>
              <w:t>336.03</w:t>
            </w:r>
          </w:p>
        </w:tc>
        <w:tc>
          <w:tcPr>
            <w:tcW w:type="dxa" w:w="1208"/>
            <w:vAlign w:val="center"/>
          </w:tcPr>
          <w:p>
            <w:pPr>
              <w:keepNext/>
              <w:spacing w:after="40" w:before="20" w:line="240" w:lineRule="auto"/>
              <w:ind w:firstLine="0"/>
            </w:pPr>
            <w:r>
              <w:rPr>
                <w:rFonts w:ascii="Times New Roman" w:hAnsi="Times New Roman"/>
                <w:sz w:val="16"/>
              </w:rPr>
              <w:t>334.92</w:t>
            </w:r>
          </w:p>
        </w:tc>
      </w:tr>
      <w:tr>
        <w:trPr>
          <w:cantSplit/>
        </w:trPr>
        <w:tc>
          <w:tcPr>
            <w:tcW w:type="dxa" w:w="1644"/>
            <w:vAlign w:val="center"/>
          </w:tcPr>
          <w:p>
            <w:pPr>
              <w:spacing w:after="40" w:before="20" w:line="240" w:lineRule="auto"/>
              <w:ind w:firstLine="0"/>
            </w:pPr>
            <w:r>
              <w:rPr>
                <w:rFonts w:ascii="Times New Roman" w:hAnsi="Times New Roman"/>
                <w:sz w:val="16"/>
              </w:rPr>
              <w:t>Bandundu</w:t>
            </w:r>
          </w:p>
        </w:tc>
        <w:tc>
          <w:tcPr>
            <w:tcW w:type="dxa" w:w="1020"/>
            <w:vAlign w:val="center"/>
          </w:tcPr>
          <w:p>
            <w:pPr>
              <w:spacing w:after="40" w:before="20" w:line="240" w:lineRule="auto"/>
              <w:ind w:firstLine="0"/>
            </w:pPr>
            <w:r>
              <w:rPr>
                <w:rFonts w:ascii="Times New Roman" w:hAnsi="Times New Roman"/>
                <w:sz w:val="16"/>
              </w:rPr>
              <w:t>490</w:t>
            </w:r>
          </w:p>
        </w:tc>
        <w:tc>
          <w:tcPr>
            <w:tcW w:type="dxa" w:w="1020"/>
            <w:vAlign w:val="center"/>
          </w:tcPr>
          <w:p>
            <w:pPr>
              <w:spacing w:after="40" w:before="20" w:line="240" w:lineRule="auto"/>
              <w:ind w:firstLine="0"/>
            </w:pPr>
            <w:r>
              <w:rPr>
                <w:rFonts w:ascii="Times New Roman" w:hAnsi="Times New Roman"/>
                <w:sz w:val="16"/>
              </w:rPr>
              <w:t>922.62</w:t>
            </w:r>
          </w:p>
        </w:tc>
        <w:tc>
          <w:tcPr>
            <w:tcW w:type="dxa" w:w="1208"/>
            <w:vAlign w:val="center"/>
          </w:tcPr>
          <w:p>
            <w:pPr>
              <w:spacing w:after="40" w:before="20" w:line="240" w:lineRule="auto"/>
              <w:ind w:firstLine="0"/>
            </w:pPr>
            <w:r>
              <w:rPr>
                <w:rFonts w:ascii="Times New Roman" w:hAnsi="Times New Roman"/>
                <w:sz w:val="16"/>
              </w:rPr>
              <w:t>879.89</w:t>
            </w:r>
          </w:p>
        </w:tc>
      </w:tr>
    </w:tbl>
    <w:p>
      <w:pPr>
        <w:spacing w:after="0"/>
      </w:pPr>
    </w:p>
    <w:p>
      <w:pPr>
        <w:jc w:val="both"/>
      </w:pPr>
      <w:r>
        <w:t>The catalogue also gives Matadi–Bandundu as 1,051 km, exceeding 355 + 490 km by 206 km. A symmetric shortest-path distance matrix cannot satisfy these three values simultaneously. The entry is retained in the audit but excluded as a calibration target; other catalogue values may represent prescribed routes rather than common shortest paths. With only two coherent pair benchmarks and unspecified itineraries, no regional accuracy statistic or fitted error distribution is justified. Neither pair validates the proportion of households within 100 km of a hub.</w:t>
      </w:r>
    </w:p>
    <w:p>
      <w:pPr>
        <w:jc w:val="both"/>
      </w:pPr>
      <w:r>
        <w:t>Reference-road agreement is spatially uneven. With tracks at 100 m, Tshuapa has 47.14% agreement across 454.17 km of reference roads, whereas Mongala has 10.03% across 505.05 km. Small samples in Kwango and Nord-Ubangi cannot support general provincial omission estimates; Kinshasa has no reference sample. For detection periods 2019–2022 and 2023–2025, track-inclusive agreement is 31.22% and 10.19%, respectively. These differences may reflect mapping lag, location and road types as well as detection behaviour. They are not identified causal effects of road age.</w:t>
      </w:r>
    </w:p>
    <w:p>
      <w:pPr>
        <w:keepNext/>
        <w:ind w:firstLine="0"/>
        <w:jc w:val="center"/>
      </w:pPr>
      <w:r>
        <w:rPr>
          <w:sz w:val="16"/>
        </w:rPr>
        <w:t>TABLE XVI</w:t>
        <w:br/>
        <w:t>CONDITIONAL SPATIAL RESAMPLING AT 100 M TOLERANCE</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474"/>
        <w:gridCol w:w="737"/>
        <w:gridCol w:w="1077"/>
        <w:gridCol w:w="1604"/>
      </w:tblGrid>
      <w:tr>
        <w:trPr>
          <w:cantSplit/>
          <w:tblHeader/>
        </w:trPr>
        <w:tc>
          <w:tcPr>
            <w:tcW w:type="dxa" w:w="1474"/>
            <w:vAlign w:val="center"/>
          </w:tcPr>
          <w:p>
            <w:pPr>
              <w:keepNext/>
              <w:spacing w:after="40" w:before="20" w:line="240" w:lineRule="auto"/>
              <w:ind w:firstLine="0"/>
            </w:pPr>
            <w:r>
              <w:rPr>
                <w:rFonts w:ascii="Times New Roman" w:hAnsi="Times New Roman"/>
                <w:b/>
                <w:sz w:val="16"/>
              </w:rPr>
              <w:t>Road set</w:t>
            </w:r>
          </w:p>
        </w:tc>
        <w:tc>
          <w:tcPr>
            <w:tcW w:type="dxa" w:w="737"/>
            <w:vAlign w:val="center"/>
          </w:tcPr>
          <w:p>
            <w:pPr>
              <w:keepNext/>
              <w:spacing w:after="40" w:before="20" w:line="240" w:lineRule="auto"/>
              <w:ind w:firstLine="0"/>
            </w:pPr>
            <w:r>
              <w:rPr>
                <w:rFonts w:ascii="Times New Roman" w:hAnsi="Times New Roman"/>
                <w:b/>
                <w:sz w:val="16"/>
              </w:rPr>
              <w:t>Block km</w:t>
            </w:r>
          </w:p>
        </w:tc>
        <w:tc>
          <w:tcPr>
            <w:tcW w:type="dxa" w:w="1077"/>
            <w:vAlign w:val="center"/>
          </w:tcPr>
          <w:p>
            <w:pPr>
              <w:keepNext/>
              <w:spacing w:after="40" w:before="20" w:line="240" w:lineRule="auto"/>
              <w:ind w:firstLine="0"/>
            </w:pPr>
            <w:r>
              <w:rPr>
                <w:rFonts w:ascii="Times New Roman" w:hAnsi="Times New Roman"/>
                <w:b/>
                <w:sz w:val="16"/>
              </w:rPr>
              <w:t>Agreement %</w:t>
            </w:r>
          </w:p>
        </w:tc>
        <w:tc>
          <w:tcPr>
            <w:tcW w:type="dxa" w:w="1604"/>
            <w:vAlign w:val="center"/>
          </w:tcPr>
          <w:p>
            <w:pPr>
              <w:keepNext/>
              <w:spacing w:after="40" w:before="20" w:line="240" w:lineRule="auto"/>
              <w:ind w:firstLine="0"/>
            </w:pPr>
            <w:r>
              <w:rPr>
                <w:rFonts w:ascii="Times New Roman" w:hAnsi="Times New Roman"/>
                <w:b/>
                <w:sz w:val="16"/>
              </w:rPr>
              <w:t>2.5–97.5 percentiles %</w:t>
            </w:r>
          </w:p>
        </w:tc>
      </w:tr>
      <w:tr>
        <w:trPr>
          <w:cantSplit/>
        </w:trPr>
        <w:tc>
          <w:tcPr>
            <w:tcW w:type="dxa" w:w="1474"/>
            <w:vAlign w:val="center"/>
          </w:tcPr>
          <w:p>
            <w:pPr>
              <w:keepNext/>
              <w:spacing w:after="40" w:before="20" w:line="240" w:lineRule="auto"/>
              <w:ind w:firstLine="0"/>
            </w:pPr>
            <w:r>
              <w:rPr>
                <w:rFonts w:ascii="Times New Roman" w:hAnsi="Times New Roman"/>
                <w:sz w:val="16"/>
              </w:rPr>
              <w:t>Main</w:t>
            </w:r>
          </w:p>
        </w:tc>
        <w:tc>
          <w:tcPr>
            <w:tcW w:type="dxa" w:w="737"/>
            <w:vAlign w:val="center"/>
          </w:tcPr>
          <w:p>
            <w:pPr>
              <w:keepNext/>
              <w:spacing w:after="40" w:before="20" w:line="240" w:lineRule="auto"/>
              <w:ind w:firstLine="0"/>
            </w:pPr>
            <w:r>
              <w:rPr>
                <w:rFonts w:ascii="Times New Roman" w:hAnsi="Times New Roman"/>
                <w:sz w:val="16"/>
              </w:rPr>
              <w:t>25</w:t>
            </w:r>
          </w:p>
        </w:tc>
        <w:tc>
          <w:tcPr>
            <w:tcW w:type="dxa" w:w="1077"/>
            <w:vAlign w:val="center"/>
          </w:tcPr>
          <w:p>
            <w:pPr>
              <w:keepNext/>
              <w:spacing w:after="40" w:before="20" w:line="240" w:lineRule="auto"/>
              <w:ind w:firstLine="0"/>
            </w:pPr>
            <w:r>
              <w:rPr>
                <w:rFonts w:ascii="Times New Roman" w:hAnsi="Times New Roman"/>
                <w:sz w:val="16"/>
              </w:rPr>
              <w:t>4.91</w:t>
            </w:r>
          </w:p>
        </w:tc>
        <w:tc>
          <w:tcPr>
            <w:tcW w:type="dxa" w:w="1604"/>
            <w:vAlign w:val="center"/>
          </w:tcPr>
          <w:p>
            <w:pPr>
              <w:keepNext/>
              <w:spacing w:after="40" w:before="20" w:line="240" w:lineRule="auto"/>
              <w:ind w:firstLine="0"/>
            </w:pPr>
            <w:r>
              <w:rPr>
                <w:rFonts w:ascii="Times New Roman" w:hAnsi="Times New Roman"/>
                <w:sz w:val="16"/>
              </w:rPr>
              <w:t>3.07–7.50</w:t>
            </w:r>
          </w:p>
        </w:tc>
      </w:tr>
      <w:tr>
        <w:trPr>
          <w:cantSplit/>
        </w:trPr>
        <w:tc>
          <w:tcPr>
            <w:tcW w:type="dxa" w:w="1474"/>
            <w:vAlign w:val="center"/>
          </w:tcPr>
          <w:p>
            <w:pPr>
              <w:keepNext/>
              <w:spacing w:after="40" w:before="20" w:line="240" w:lineRule="auto"/>
              <w:ind w:firstLine="0"/>
            </w:pPr>
            <w:r>
              <w:rPr>
                <w:rFonts w:ascii="Times New Roman" w:hAnsi="Times New Roman"/>
                <w:sz w:val="16"/>
              </w:rPr>
              <w:t>Main</w:t>
            </w:r>
          </w:p>
        </w:tc>
        <w:tc>
          <w:tcPr>
            <w:tcW w:type="dxa" w:w="737"/>
            <w:vAlign w:val="center"/>
          </w:tcPr>
          <w:p>
            <w:pPr>
              <w:keepNext/>
              <w:spacing w:after="40" w:before="20" w:line="240" w:lineRule="auto"/>
              <w:ind w:firstLine="0"/>
            </w:pPr>
            <w:r>
              <w:rPr>
                <w:rFonts w:ascii="Times New Roman" w:hAnsi="Times New Roman"/>
                <w:sz w:val="16"/>
              </w:rPr>
              <w:t>50</w:t>
            </w:r>
          </w:p>
        </w:tc>
        <w:tc>
          <w:tcPr>
            <w:tcW w:type="dxa" w:w="1077"/>
            <w:vAlign w:val="center"/>
          </w:tcPr>
          <w:p>
            <w:pPr>
              <w:keepNext/>
              <w:spacing w:after="40" w:before="20" w:line="240" w:lineRule="auto"/>
              <w:ind w:firstLine="0"/>
            </w:pPr>
            <w:r>
              <w:rPr>
                <w:rFonts w:ascii="Times New Roman" w:hAnsi="Times New Roman"/>
                <w:sz w:val="16"/>
              </w:rPr>
              <w:t>4.91</w:t>
            </w:r>
          </w:p>
        </w:tc>
        <w:tc>
          <w:tcPr>
            <w:tcW w:type="dxa" w:w="1604"/>
            <w:vAlign w:val="center"/>
          </w:tcPr>
          <w:p>
            <w:pPr>
              <w:keepNext/>
              <w:spacing w:after="40" w:before="20" w:line="240" w:lineRule="auto"/>
              <w:ind w:firstLine="0"/>
            </w:pPr>
            <w:r>
              <w:rPr>
                <w:rFonts w:ascii="Times New Roman" w:hAnsi="Times New Roman"/>
                <w:sz w:val="16"/>
              </w:rPr>
              <w:t>3.00–8.37</w:t>
            </w:r>
          </w:p>
        </w:tc>
      </w:tr>
      <w:tr>
        <w:trPr>
          <w:cantSplit/>
        </w:trPr>
        <w:tc>
          <w:tcPr>
            <w:tcW w:type="dxa" w:w="1474"/>
            <w:vAlign w:val="center"/>
          </w:tcPr>
          <w:p>
            <w:pPr>
              <w:keepNext/>
              <w:spacing w:after="40" w:before="20" w:line="240" w:lineRule="auto"/>
              <w:ind w:firstLine="0"/>
            </w:pPr>
            <w:r>
              <w:rPr>
                <w:rFonts w:ascii="Times New Roman" w:hAnsi="Times New Roman"/>
                <w:sz w:val="16"/>
              </w:rPr>
              <w:t>Main + tracks</w:t>
            </w:r>
          </w:p>
        </w:tc>
        <w:tc>
          <w:tcPr>
            <w:tcW w:type="dxa" w:w="737"/>
            <w:vAlign w:val="center"/>
          </w:tcPr>
          <w:p>
            <w:pPr>
              <w:keepNext/>
              <w:spacing w:after="40" w:before="20" w:line="240" w:lineRule="auto"/>
              <w:ind w:firstLine="0"/>
            </w:pPr>
            <w:r>
              <w:rPr>
                <w:rFonts w:ascii="Times New Roman" w:hAnsi="Times New Roman"/>
                <w:sz w:val="16"/>
              </w:rPr>
              <w:t>25</w:t>
            </w:r>
          </w:p>
        </w:tc>
        <w:tc>
          <w:tcPr>
            <w:tcW w:type="dxa" w:w="1077"/>
            <w:vAlign w:val="center"/>
          </w:tcPr>
          <w:p>
            <w:pPr>
              <w:keepNext/>
              <w:spacing w:after="40" w:before="20" w:line="240" w:lineRule="auto"/>
              <w:ind w:firstLine="0"/>
            </w:pPr>
            <w:r>
              <w:rPr>
                <w:rFonts w:ascii="Times New Roman" w:hAnsi="Times New Roman"/>
                <w:sz w:val="16"/>
              </w:rPr>
              <w:t>20.93</w:t>
            </w:r>
          </w:p>
        </w:tc>
        <w:tc>
          <w:tcPr>
            <w:tcW w:type="dxa" w:w="1604"/>
            <w:vAlign w:val="center"/>
          </w:tcPr>
          <w:p>
            <w:pPr>
              <w:keepNext/>
              <w:spacing w:after="40" w:before="20" w:line="240" w:lineRule="auto"/>
              <w:ind w:firstLine="0"/>
            </w:pPr>
            <w:r>
              <w:rPr>
                <w:rFonts w:ascii="Times New Roman" w:hAnsi="Times New Roman"/>
                <w:sz w:val="16"/>
              </w:rPr>
              <w:t>12.81–30.95</w:t>
            </w:r>
          </w:p>
        </w:tc>
      </w:tr>
      <w:tr>
        <w:trPr>
          <w:cantSplit/>
        </w:trPr>
        <w:tc>
          <w:tcPr>
            <w:tcW w:type="dxa" w:w="1474"/>
            <w:vAlign w:val="center"/>
          </w:tcPr>
          <w:p>
            <w:pPr>
              <w:spacing w:after="40" w:before="20" w:line="240" w:lineRule="auto"/>
              <w:ind w:firstLine="0"/>
            </w:pPr>
            <w:r>
              <w:rPr>
                <w:rFonts w:ascii="Times New Roman" w:hAnsi="Times New Roman"/>
                <w:sz w:val="16"/>
              </w:rPr>
              <w:t>Main + tracks</w:t>
            </w:r>
          </w:p>
        </w:tc>
        <w:tc>
          <w:tcPr>
            <w:tcW w:type="dxa" w:w="737"/>
            <w:vAlign w:val="center"/>
          </w:tcPr>
          <w:p>
            <w:pPr>
              <w:spacing w:after="40" w:before="20" w:line="240" w:lineRule="auto"/>
              <w:ind w:firstLine="0"/>
            </w:pPr>
            <w:r>
              <w:rPr>
                <w:rFonts w:ascii="Times New Roman" w:hAnsi="Times New Roman"/>
                <w:sz w:val="16"/>
              </w:rPr>
              <w:t>50</w:t>
            </w:r>
          </w:p>
        </w:tc>
        <w:tc>
          <w:tcPr>
            <w:tcW w:type="dxa" w:w="1077"/>
            <w:vAlign w:val="center"/>
          </w:tcPr>
          <w:p>
            <w:pPr>
              <w:spacing w:after="40" w:before="20" w:line="240" w:lineRule="auto"/>
              <w:ind w:firstLine="0"/>
            </w:pPr>
            <w:r>
              <w:rPr>
                <w:rFonts w:ascii="Times New Roman" w:hAnsi="Times New Roman"/>
                <w:sz w:val="16"/>
              </w:rPr>
              <w:t>20.93</w:t>
            </w:r>
          </w:p>
        </w:tc>
        <w:tc>
          <w:tcPr>
            <w:tcW w:type="dxa" w:w="1604"/>
            <w:vAlign w:val="center"/>
          </w:tcPr>
          <w:p>
            <w:pPr>
              <w:spacing w:after="40" w:before="20" w:line="240" w:lineRule="auto"/>
              <w:ind w:firstLine="0"/>
            </w:pPr>
            <w:r>
              <w:rPr>
                <w:rFonts w:ascii="Times New Roman" w:hAnsi="Times New Roman"/>
                <w:sz w:val="16"/>
              </w:rPr>
              <w:t>12.06–32.26</w:t>
            </w:r>
          </w:p>
        </w:tc>
      </w:tr>
    </w:tbl>
    <w:p>
      <w:pPr>
        <w:spacing w:after="0"/>
      </w:pPr>
    </w:p>
    <w:p>
      <w:pPr>
        <w:jc w:val="both"/>
      </w:pPr>
      <w:r>
        <w:t>The 25-km partition has 131 nonempty blocks and the 50-km partition 76; each is resampled 1,000 times. Wider ranges at 50 km reinforce the need to respect spatial dependence. This strengthens the uncertainty characterization of the external input check without calibrating the covering model. Road operability, household access, reference error and seasonal variation still require matched evidence. Uniform 1% deletion remains a stress assumption rather than an estimated error rate.</w:t>
      </w:r>
    </w:p>
    <w:p>
      <w:pPr>
        <w:pStyle w:val="Heading2"/>
        <w:ind w:firstLine="0"/>
        <w:jc w:val="both"/>
      </w:pPr>
      <w:r>
        <w:t>K. Ferry Omission and Criterion-Weight Diagnostics</w:t>
      </w:r>
    </w:p>
    <w:p>
      <w:pPr>
        <w:jc w:val="both"/>
      </w:pPr>
      <w:r>
        <w:t>The original Kinshasa–Bandundu path detours toward Kikwit (Fig. 5). Adding the three mapped ferry ways changes the main-road path from 922.62 to 398.99 km and the track-inclusive path from 879.89 to 384.04 km. The main-road conditional route is 1.48% shorter than the report’s 405-km Mongata itinerary; the track alternative is 5.17% shorter. This explains an important part of the graph discrepancy through a documented omitted mode, conditional on availability. The comparison is a geographically plausible published-route benchmark, not GPS accuracy validation or proof of safe current operation. The 2018 distance of 490 km remains a different, unspecified-itinerary benchmark.</w:t>
      </w:r>
    </w:p>
    <w:p>
      <w:pPr>
        <w:keepNext/>
        <w:ind w:firstLine="0"/>
        <w:jc w:val="center"/>
      </w:pPr>
      <w:r>
        <w:drawing>
          <wp:inline xmlns:a="http://schemas.openxmlformats.org/drawingml/2006/main" xmlns:pic="http://schemas.openxmlformats.org/drawingml/2006/picture">
            <wp:extent cx="3074400" cy="2836500"/>
            <wp:docPr id="5" name="Picture 5"/>
            <wp:cNvGraphicFramePr>
              <a:graphicFrameLocks noChangeAspect="1"/>
            </wp:cNvGraphicFramePr>
            <a:graphic>
              <a:graphicData uri="http://schemas.openxmlformats.org/drawingml/2006/picture">
                <pic:pic>
                  <pic:nvPicPr>
                    <pic:cNvPr id="0" name="calculated_paths_bandundu.png"/>
                    <pic:cNvPicPr/>
                  </pic:nvPicPr>
                  <pic:blipFill>
                    <a:blip r:embed="rId15"/>
                    <a:stretch>
                      <a:fillRect/>
                    </a:stretch>
                  </pic:blipFill>
                  <pic:spPr>
                    <a:xfrm>
                      <a:off x="0" y="0"/>
                      <a:ext cx="3074400" cy="2836500"/>
                    </a:xfrm>
                    <a:prstGeom prst="rect"/>
                  </pic:spPr>
                </pic:pic>
              </a:graphicData>
            </a:graphic>
          </wp:inline>
        </w:drawing>
      </w:r>
    </w:p>
    <w:p>
      <w:pPr>
        <w:ind w:firstLine="0"/>
        <w:jc w:val="both"/>
      </w:pPr>
      <w:r>
        <w:rPr>
          <w:sz w:val="16"/>
        </w:rPr>
        <w:t>Fig. 5. Calculated Kinshasa–Bandundu paths in the road-only graph and after adding mapped Bandundu ferry geometry. Ferry use is assumed, not observed. OSM-derived geometry [19], [39]; plotted in longitude/latitude for diagnosis.</w:t>
      </w:r>
    </w:p>
    <w:p>
      <w:pPr>
        <w:jc w:val="both"/>
      </w:pPr>
      <w:r>
        <w:t>All twelve optimizations return solver status zero and zero gap. Coverage for p = 5 and 10 is unchanged within numerical precision; this does not imply identical optimizer-selected sets. For p = 15, the gains are 0.079 and 0.078 percentage points for WorldPop without and with tracks, and 0.050 and 0.049 for GHS-POP (Table XVII). A severe long-distance route discrepancy can therefore coexist with a small change in this specific 100-km covering objective. That result does not establish that omitted ferries elsewhere are unimportant or that population access is validated.</w:t>
      </w:r>
    </w:p>
    <w:p>
      <w:pPr>
        <w:keepNext/>
        <w:ind w:firstLine="0"/>
        <w:jc w:val="center"/>
      </w:pPr>
      <w:r>
        <w:rPr>
          <w:sz w:val="16"/>
        </w:rPr>
        <w:t>TABLE XVII</w:t>
        <w:br/>
        <w:t>CONDITIONAL FERRY COVERAGE WITH FIFTEEN HUBS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304"/>
        <w:gridCol w:w="850"/>
        <w:gridCol w:w="907"/>
        <w:gridCol w:w="907"/>
        <w:gridCol w:w="924"/>
      </w:tblGrid>
      <w:tr>
        <w:trPr>
          <w:cantSplit/>
          <w:tblHeader/>
        </w:trPr>
        <w:tc>
          <w:tcPr>
            <w:tcW w:type="dxa" w:w="1304"/>
            <w:vAlign w:val="center"/>
          </w:tcPr>
          <w:p>
            <w:pPr>
              <w:keepNext/>
              <w:spacing w:after="40" w:before="20" w:line="240" w:lineRule="auto"/>
              <w:ind w:firstLine="0"/>
            </w:pPr>
            <w:r>
              <w:rPr>
                <w:rFonts w:ascii="Times New Roman" w:hAnsi="Times New Roman"/>
                <w:b/>
                <w:sz w:val="16"/>
              </w:rPr>
              <w:t>Product</w:t>
            </w:r>
          </w:p>
        </w:tc>
        <w:tc>
          <w:tcPr>
            <w:tcW w:type="dxa" w:w="850"/>
            <w:vAlign w:val="center"/>
          </w:tcPr>
          <w:p>
            <w:pPr>
              <w:keepNext/>
              <w:spacing w:after="40" w:before="20" w:line="240" w:lineRule="auto"/>
              <w:ind w:firstLine="0"/>
            </w:pPr>
            <w:r>
              <w:rPr>
                <w:rFonts w:ascii="Times New Roman" w:hAnsi="Times New Roman"/>
                <w:b/>
                <w:sz w:val="16"/>
              </w:rPr>
              <w:t>Road set</w:t>
            </w:r>
          </w:p>
        </w:tc>
        <w:tc>
          <w:tcPr>
            <w:tcW w:type="dxa" w:w="907"/>
            <w:vAlign w:val="center"/>
          </w:tcPr>
          <w:p>
            <w:pPr>
              <w:keepNext/>
              <w:spacing w:after="40" w:before="20" w:line="240" w:lineRule="auto"/>
              <w:ind w:firstLine="0"/>
            </w:pPr>
            <w:r>
              <w:rPr>
                <w:rFonts w:ascii="Times New Roman" w:hAnsi="Times New Roman"/>
                <w:b/>
                <w:sz w:val="16"/>
              </w:rPr>
              <w:t>Before %</w:t>
            </w:r>
          </w:p>
        </w:tc>
        <w:tc>
          <w:tcPr>
            <w:tcW w:type="dxa" w:w="907"/>
            <w:vAlign w:val="center"/>
          </w:tcPr>
          <w:p>
            <w:pPr>
              <w:keepNext/>
              <w:spacing w:after="40" w:before="20" w:line="240" w:lineRule="auto"/>
              <w:ind w:firstLine="0"/>
            </w:pPr>
            <w:r>
              <w:rPr>
                <w:rFonts w:ascii="Times New Roman" w:hAnsi="Times New Roman"/>
                <w:b/>
                <w:sz w:val="16"/>
              </w:rPr>
              <w:t>Ferry %</w:t>
            </w:r>
          </w:p>
        </w:tc>
        <w:tc>
          <w:tcPr>
            <w:tcW w:type="dxa" w:w="924"/>
            <w:vAlign w:val="center"/>
          </w:tcPr>
          <w:p>
            <w:pPr>
              <w:keepNext/>
              <w:spacing w:after="40" w:before="20" w:line="240" w:lineRule="auto"/>
              <w:ind w:firstLine="0"/>
            </w:pPr>
            <w:r>
              <w:rPr>
                <w:rFonts w:ascii="Times New Roman" w:hAnsi="Times New Roman"/>
                <w:b/>
                <w:sz w:val="16"/>
              </w:rPr>
              <w:t>Gain pp</w:t>
            </w:r>
          </w:p>
        </w:tc>
      </w:tr>
      <w:tr>
        <w:trPr>
          <w:cantSplit/>
        </w:trPr>
        <w:tc>
          <w:tcPr>
            <w:tcW w:type="dxa" w:w="1304"/>
            <w:vAlign w:val="center"/>
          </w:tcPr>
          <w:p>
            <w:pPr>
              <w:keepNext/>
              <w:spacing w:after="40" w:before="20" w:line="240" w:lineRule="auto"/>
              <w:ind w:firstLine="0"/>
            </w:pPr>
            <w:r>
              <w:rPr>
                <w:rFonts w:ascii="Times New Roman" w:hAnsi="Times New Roman"/>
                <w:sz w:val="16"/>
              </w:rPr>
              <w:t>GHS-POP</w:t>
            </w:r>
          </w:p>
        </w:tc>
        <w:tc>
          <w:tcPr>
            <w:tcW w:type="dxa" w:w="850"/>
            <w:vAlign w:val="center"/>
          </w:tcPr>
          <w:p>
            <w:pPr>
              <w:keepNext/>
              <w:spacing w:after="40" w:before="20" w:line="240" w:lineRule="auto"/>
              <w:ind w:firstLine="0"/>
            </w:pPr>
            <w:r>
              <w:rPr>
                <w:rFonts w:ascii="Times New Roman" w:hAnsi="Times New Roman"/>
                <w:sz w:val="16"/>
              </w:rPr>
              <w:t>Main</w:t>
            </w:r>
          </w:p>
        </w:tc>
        <w:tc>
          <w:tcPr>
            <w:tcW w:type="dxa" w:w="907"/>
            <w:vAlign w:val="center"/>
          </w:tcPr>
          <w:p>
            <w:pPr>
              <w:keepNext/>
              <w:spacing w:after="40" w:before="20" w:line="240" w:lineRule="auto"/>
              <w:ind w:firstLine="0"/>
            </w:pPr>
            <w:r>
              <w:rPr>
                <w:rFonts w:ascii="Times New Roman" w:hAnsi="Times New Roman"/>
                <w:sz w:val="16"/>
              </w:rPr>
              <w:t>66.19</w:t>
            </w:r>
          </w:p>
        </w:tc>
        <w:tc>
          <w:tcPr>
            <w:tcW w:type="dxa" w:w="907"/>
            <w:vAlign w:val="center"/>
          </w:tcPr>
          <w:p>
            <w:pPr>
              <w:keepNext/>
              <w:spacing w:after="40" w:before="20" w:line="240" w:lineRule="auto"/>
              <w:ind w:firstLine="0"/>
            </w:pPr>
            <w:r>
              <w:rPr>
                <w:rFonts w:ascii="Times New Roman" w:hAnsi="Times New Roman"/>
                <w:sz w:val="16"/>
              </w:rPr>
              <w:t>66.24</w:t>
            </w:r>
          </w:p>
        </w:tc>
        <w:tc>
          <w:tcPr>
            <w:tcW w:type="dxa" w:w="924"/>
            <w:vAlign w:val="center"/>
          </w:tcPr>
          <w:p>
            <w:pPr>
              <w:keepNext/>
              <w:spacing w:after="40" w:before="20" w:line="240" w:lineRule="auto"/>
              <w:ind w:firstLine="0"/>
            </w:pPr>
            <w:r>
              <w:rPr>
                <w:rFonts w:ascii="Times New Roman" w:hAnsi="Times New Roman"/>
                <w:sz w:val="16"/>
              </w:rPr>
              <w:t>0.050</w:t>
            </w:r>
          </w:p>
        </w:tc>
      </w:tr>
      <w:tr>
        <w:trPr>
          <w:cantSplit/>
        </w:trPr>
        <w:tc>
          <w:tcPr>
            <w:tcW w:type="dxa" w:w="1304"/>
            <w:vAlign w:val="center"/>
          </w:tcPr>
          <w:p>
            <w:pPr>
              <w:keepNext/>
              <w:spacing w:after="40" w:before="20" w:line="240" w:lineRule="auto"/>
              <w:ind w:firstLine="0"/>
            </w:pPr>
            <w:r>
              <w:rPr>
                <w:rFonts w:ascii="Times New Roman" w:hAnsi="Times New Roman"/>
                <w:sz w:val="16"/>
              </w:rPr>
              <w:t>WorldPop</w:t>
            </w:r>
          </w:p>
        </w:tc>
        <w:tc>
          <w:tcPr>
            <w:tcW w:type="dxa" w:w="850"/>
            <w:vAlign w:val="center"/>
          </w:tcPr>
          <w:p>
            <w:pPr>
              <w:keepNext/>
              <w:spacing w:after="40" w:before="20" w:line="240" w:lineRule="auto"/>
              <w:ind w:firstLine="0"/>
            </w:pPr>
            <w:r>
              <w:rPr>
                <w:rFonts w:ascii="Times New Roman" w:hAnsi="Times New Roman"/>
                <w:sz w:val="16"/>
              </w:rPr>
              <w:t>Main</w:t>
            </w:r>
          </w:p>
        </w:tc>
        <w:tc>
          <w:tcPr>
            <w:tcW w:type="dxa" w:w="907"/>
            <w:vAlign w:val="center"/>
          </w:tcPr>
          <w:p>
            <w:pPr>
              <w:keepNext/>
              <w:spacing w:after="40" w:before="20" w:line="240" w:lineRule="auto"/>
              <w:ind w:firstLine="0"/>
            </w:pPr>
            <w:r>
              <w:rPr>
                <w:rFonts w:ascii="Times New Roman" w:hAnsi="Times New Roman"/>
                <w:sz w:val="16"/>
              </w:rPr>
              <w:t>56.38</w:t>
            </w:r>
          </w:p>
        </w:tc>
        <w:tc>
          <w:tcPr>
            <w:tcW w:type="dxa" w:w="907"/>
            <w:vAlign w:val="center"/>
          </w:tcPr>
          <w:p>
            <w:pPr>
              <w:keepNext/>
              <w:spacing w:after="40" w:before="20" w:line="240" w:lineRule="auto"/>
              <w:ind w:firstLine="0"/>
            </w:pPr>
            <w:r>
              <w:rPr>
                <w:rFonts w:ascii="Times New Roman" w:hAnsi="Times New Roman"/>
                <w:sz w:val="16"/>
              </w:rPr>
              <w:t>56.46</w:t>
            </w:r>
          </w:p>
        </w:tc>
        <w:tc>
          <w:tcPr>
            <w:tcW w:type="dxa" w:w="924"/>
            <w:vAlign w:val="center"/>
          </w:tcPr>
          <w:p>
            <w:pPr>
              <w:keepNext/>
              <w:spacing w:after="40" w:before="20" w:line="240" w:lineRule="auto"/>
              <w:ind w:firstLine="0"/>
            </w:pPr>
            <w:r>
              <w:rPr>
                <w:rFonts w:ascii="Times New Roman" w:hAnsi="Times New Roman"/>
                <w:sz w:val="16"/>
              </w:rPr>
              <w:t>0.079</w:t>
            </w:r>
          </w:p>
        </w:tc>
      </w:tr>
      <w:tr>
        <w:trPr>
          <w:cantSplit/>
        </w:trPr>
        <w:tc>
          <w:tcPr>
            <w:tcW w:type="dxa" w:w="1304"/>
            <w:vAlign w:val="center"/>
          </w:tcPr>
          <w:p>
            <w:pPr>
              <w:keepNext/>
              <w:spacing w:after="40" w:before="20" w:line="240" w:lineRule="auto"/>
              <w:ind w:firstLine="0"/>
            </w:pPr>
            <w:r>
              <w:rPr>
                <w:rFonts w:ascii="Times New Roman" w:hAnsi="Times New Roman"/>
                <w:sz w:val="16"/>
              </w:rPr>
              <w:t>GHS-POP</w:t>
            </w:r>
          </w:p>
        </w:tc>
        <w:tc>
          <w:tcPr>
            <w:tcW w:type="dxa" w:w="850"/>
            <w:vAlign w:val="center"/>
          </w:tcPr>
          <w:p>
            <w:pPr>
              <w:keepNext/>
              <w:spacing w:after="40" w:before="20" w:line="240" w:lineRule="auto"/>
              <w:ind w:firstLine="0"/>
            </w:pPr>
            <w:r>
              <w:rPr>
                <w:rFonts w:ascii="Times New Roman" w:hAnsi="Times New Roman"/>
                <w:sz w:val="16"/>
              </w:rPr>
              <w:t>Tracks</w:t>
            </w:r>
          </w:p>
        </w:tc>
        <w:tc>
          <w:tcPr>
            <w:tcW w:type="dxa" w:w="907"/>
            <w:vAlign w:val="center"/>
          </w:tcPr>
          <w:p>
            <w:pPr>
              <w:keepNext/>
              <w:spacing w:after="40" w:before="20" w:line="240" w:lineRule="auto"/>
              <w:ind w:firstLine="0"/>
            </w:pPr>
            <w:r>
              <w:rPr>
                <w:rFonts w:ascii="Times New Roman" w:hAnsi="Times New Roman"/>
                <w:sz w:val="16"/>
              </w:rPr>
              <w:t>66.59</w:t>
            </w:r>
          </w:p>
        </w:tc>
        <w:tc>
          <w:tcPr>
            <w:tcW w:type="dxa" w:w="907"/>
            <w:vAlign w:val="center"/>
          </w:tcPr>
          <w:p>
            <w:pPr>
              <w:keepNext/>
              <w:spacing w:after="40" w:before="20" w:line="240" w:lineRule="auto"/>
              <w:ind w:firstLine="0"/>
            </w:pPr>
            <w:r>
              <w:rPr>
                <w:rFonts w:ascii="Times New Roman" w:hAnsi="Times New Roman"/>
                <w:sz w:val="16"/>
              </w:rPr>
              <w:t>66.64</w:t>
            </w:r>
          </w:p>
        </w:tc>
        <w:tc>
          <w:tcPr>
            <w:tcW w:type="dxa" w:w="924"/>
            <w:vAlign w:val="center"/>
          </w:tcPr>
          <w:p>
            <w:pPr>
              <w:keepNext/>
              <w:spacing w:after="40" w:before="20" w:line="240" w:lineRule="auto"/>
              <w:ind w:firstLine="0"/>
            </w:pPr>
            <w:r>
              <w:rPr>
                <w:rFonts w:ascii="Times New Roman" w:hAnsi="Times New Roman"/>
                <w:sz w:val="16"/>
              </w:rPr>
              <w:t>0.049</w:t>
            </w:r>
          </w:p>
        </w:tc>
      </w:tr>
      <w:tr>
        <w:trPr>
          <w:cantSplit/>
        </w:trPr>
        <w:tc>
          <w:tcPr>
            <w:tcW w:type="dxa" w:w="1304"/>
            <w:vAlign w:val="center"/>
          </w:tcPr>
          <w:p>
            <w:pPr>
              <w:spacing w:after="40" w:before="20" w:line="240" w:lineRule="auto"/>
              <w:ind w:firstLine="0"/>
            </w:pPr>
            <w:r>
              <w:rPr>
                <w:rFonts w:ascii="Times New Roman" w:hAnsi="Times New Roman"/>
                <w:sz w:val="16"/>
              </w:rPr>
              <w:t>WorldPop</w:t>
            </w:r>
          </w:p>
        </w:tc>
        <w:tc>
          <w:tcPr>
            <w:tcW w:type="dxa" w:w="850"/>
            <w:vAlign w:val="center"/>
          </w:tcPr>
          <w:p>
            <w:pPr>
              <w:spacing w:after="40" w:before="20" w:line="240" w:lineRule="auto"/>
              <w:ind w:firstLine="0"/>
            </w:pPr>
            <w:r>
              <w:rPr>
                <w:rFonts w:ascii="Times New Roman" w:hAnsi="Times New Roman"/>
                <w:sz w:val="16"/>
              </w:rPr>
              <w:t>Tracks</w:t>
            </w:r>
          </w:p>
        </w:tc>
        <w:tc>
          <w:tcPr>
            <w:tcW w:type="dxa" w:w="907"/>
            <w:vAlign w:val="center"/>
          </w:tcPr>
          <w:p>
            <w:pPr>
              <w:spacing w:after="40" w:before="20" w:line="240" w:lineRule="auto"/>
              <w:ind w:firstLine="0"/>
            </w:pPr>
            <w:r>
              <w:rPr>
                <w:rFonts w:ascii="Times New Roman" w:hAnsi="Times New Roman"/>
                <w:sz w:val="16"/>
              </w:rPr>
              <w:t>57.02</w:t>
            </w:r>
          </w:p>
        </w:tc>
        <w:tc>
          <w:tcPr>
            <w:tcW w:type="dxa" w:w="907"/>
            <w:vAlign w:val="center"/>
          </w:tcPr>
          <w:p>
            <w:pPr>
              <w:spacing w:after="40" w:before="20" w:line="240" w:lineRule="auto"/>
              <w:ind w:firstLine="0"/>
            </w:pPr>
            <w:r>
              <w:rPr>
                <w:rFonts w:ascii="Times New Roman" w:hAnsi="Times New Roman"/>
                <w:sz w:val="16"/>
              </w:rPr>
              <w:t>57.10</w:t>
            </w:r>
          </w:p>
        </w:tc>
        <w:tc>
          <w:tcPr>
            <w:tcW w:type="dxa" w:w="924"/>
            <w:vAlign w:val="center"/>
          </w:tcPr>
          <w:p>
            <w:pPr>
              <w:spacing w:after="40" w:before="20" w:line="240" w:lineRule="auto"/>
              <w:ind w:firstLine="0"/>
            </w:pPr>
            <w:r>
              <w:rPr>
                <w:rFonts w:ascii="Times New Roman" w:hAnsi="Times New Roman"/>
                <w:sz w:val="16"/>
              </w:rPr>
              <w:t>0.078</w:t>
            </w:r>
          </w:p>
        </w:tc>
      </w:tr>
    </w:tbl>
    <w:p>
      <w:pPr>
        <w:spacing w:after="0"/>
      </w:pPr>
    </w:p>
    <w:p>
      <w:pPr>
        <w:keepNext/>
        <w:ind w:firstLine="0"/>
        <w:jc w:val="center"/>
      </w:pPr>
      <w:r>
        <w:rPr>
          <w:sz w:val="16"/>
        </w:rPr>
        <w:t>TABLE XVIII</w:t>
        <w:br/>
        <w:t>CRITIC-STYLE WEIGHTS ON RETAINED CANDIDATE SCORES</w:t>
      </w:r>
    </w:p>
    <w:tbl>
      <w:tblPr>
        <w:tblW w:type="dxa" w:w="4893"/>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928"/>
        <w:gridCol w:w="1474"/>
        <w:gridCol w:w="1491"/>
      </w:tblGrid>
      <w:tr>
        <w:trPr>
          <w:cantSplit/>
          <w:tblHeader/>
        </w:trPr>
        <w:tc>
          <w:tcPr>
            <w:tcW w:type="dxa" w:w="1928"/>
            <w:vAlign w:val="center"/>
          </w:tcPr>
          <w:p>
            <w:pPr>
              <w:keepNext/>
              <w:spacing w:after="40" w:before="20" w:line="240" w:lineRule="auto"/>
              <w:ind w:firstLine="0"/>
            </w:pPr>
            <w:r>
              <w:rPr>
                <w:rFonts w:ascii="Times New Roman" w:hAnsi="Times New Roman"/>
                <w:b/>
                <w:sz w:val="16"/>
              </w:rPr>
              <w:t>Criterion</w:t>
            </w:r>
          </w:p>
        </w:tc>
        <w:tc>
          <w:tcPr>
            <w:tcW w:type="dxa" w:w="1474"/>
            <w:vAlign w:val="center"/>
          </w:tcPr>
          <w:p>
            <w:pPr>
              <w:keepNext/>
              <w:spacing w:after="40" w:before="20" w:line="240" w:lineRule="auto"/>
              <w:ind w:firstLine="0"/>
            </w:pPr>
            <w:r>
              <w:rPr>
                <w:rFonts w:ascii="Times New Roman" w:hAnsi="Times New Roman"/>
                <w:b/>
                <w:sz w:val="16"/>
              </w:rPr>
              <w:t>10 km weight %</w:t>
            </w:r>
          </w:p>
        </w:tc>
        <w:tc>
          <w:tcPr>
            <w:tcW w:type="dxa" w:w="1491"/>
            <w:vAlign w:val="center"/>
          </w:tcPr>
          <w:p>
            <w:pPr>
              <w:keepNext/>
              <w:spacing w:after="40" w:before="20" w:line="240" w:lineRule="auto"/>
              <w:ind w:firstLine="0"/>
            </w:pPr>
            <w:r>
              <w:rPr>
                <w:rFonts w:ascii="Times New Roman" w:hAnsi="Times New Roman"/>
                <w:b/>
                <w:sz w:val="16"/>
              </w:rPr>
              <w:t>25 km weight %</w:t>
            </w:r>
          </w:p>
        </w:tc>
      </w:tr>
      <w:tr>
        <w:trPr>
          <w:cantSplit/>
        </w:trPr>
        <w:tc>
          <w:tcPr>
            <w:tcW w:type="dxa" w:w="1928"/>
            <w:vAlign w:val="center"/>
          </w:tcPr>
          <w:p>
            <w:pPr>
              <w:keepNext/>
              <w:spacing w:after="40" w:before="20" w:line="240" w:lineRule="auto"/>
              <w:ind w:firstLine="0"/>
            </w:pPr>
            <w:r>
              <w:rPr>
                <w:rFonts w:ascii="Times New Roman" w:hAnsi="Times New Roman"/>
                <w:sz w:val="16"/>
              </w:rPr>
              <w:t>Population</w:t>
            </w:r>
          </w:p>
        </w:tc>
        <w:tc>
          <w:tcPr>
            <w:tcW w:type="dxa" w:w="1474"/>
            <w:vAlign w:val="center"/>
          </w:tcPr>
          <w:p>
            <w:pPr>
              <w:keepNext/>
              <w:spacing w:after="40" w:before="20" w:line="240" w:lineRule="auto"/>
              <w:ind w:firstLine="0"/>
            </w:pPr>
            <w:r>
              <w:rPr>
                <w:rFonts w:ascii="Times New Roman" w:hAnsi="Times New Roman"/>
                <w:sz w:val="16"/>
              </w:rPr>
              <w:t>14.78</w:t>
            </w:r>
          </w:p>
        </w:tc>
        <w:tc>
          <w:tcPr>
            <w:tcW w:type="dxa" w:w="1491"/>
            <w:vAlign w:val="center"/>
          </w:tcPr>
          <w:p>
            <w:pPr>
              <w:keepNext/>
              <w:spacing w:after="40" w:before="20" w:line="240" w:lineRule="auto"/>
              <w:ind w:firstLine="0"/>
            </w:pPr>
            <w:r>
              <w:rPr>
                <w:rFonts w:ascii="Times New Roman" w:hAnsi="Times New Roman"/>
                <w:sz w:val="16"/>
              </w:rPr>
              <w:t>14.35</w:t>
            </w:r>
          </w:p>
        </w:tc>
      </w:tr>
      <w:tr>
        <w:trPr>
          <w:cantSplit/>
        </w:trPr>
        <w:tc>
          <w:tcPr>
            <w:tcW w:type="dxa" w:w="1928"/>
            <w:vAlign w:val="center"/>
          </w:tcPr>
          <w:p>
            <w:pPr>
              <w:keepNext/>
              <w:spacing w:after="40" w:before="20" w:line="240" w:lineRule="auto"/>
              <w:ind w:firstLine="0"/>
            </w:pPr>
            <w:r>
              <w:rPr>
                <w:rFonts w:ascii="Times New Roman" w:hAnsi="Times New Roman"/>
                <w:sz w:val="16"/>
              </w:rPr>
              <w:t>Road</w:t>
            </w:r>
          </w:p>
        </w:tc>
        <w:tc>
          <w:tcPr>
            <w:tcW w:type="dxa" w:w="1474"/>
            <w:vAlign w:val="center"/>
          </w:tcPr>
          <w:p>
            <w:pPr>
              <w:keepNext/>
              <w:spacing w:after="40" w:before="20" w:line="240" w:lineRule="auto"/>
              <w:ind w:firstLine="0"/>
            </w:pPr>
            <w:r>
              <w:rPr>
                <w:rFonts w:ascii="Times New Roman" w:hAnsi="Times New Roman"/>
                <w:sz w:val="16"/>
              </w:rPr>
              <w:t>10.48</w:t>
            </w:r>
          </w:p>
        </w:tc>
        <w:tc>
          <w:tcPr>
            <w:tcW w:type="dxa" w:w="1491"/>
            <w:vAlign w:val="center"/>
          </w:tcPr>
          <w:p>
            <w:pPr>
              <w:keepNext/>
              <w:spacing w:after="40" w:before="20" w:line="240" w:lineRule="auto"/>
              <w:ind w:firstLine="0"/>
            </w:pPr>
            <w:r>
              <w:rPr>
                <w:rFonts w:ascii="Times New Roman" w:hAnsi="Times New Roman"/>
                <w:sz w:val="16"/>
              </w:rPr>
              <w:t>10.87</w:t>
            </w:r>
          </w:p>
        </w:tc>
      </w:tr>
      <w:tr>
        <w:trPr>
          <w:cantSplit/>
        </w:trPr>
        <w:tc>
          <w:tcPr>
            <w:tcW w:type="dxa" w:w="1928"/>
            <w:vAlign w:val="center"/>
          </w:tcPr>
          <w:p>
            <w:pPr>
              <w:keepNext/>
              <w:spacing w:after="40" w:before="20" w:line="240" w:lineRule="auto"/>
              <w:ind w:firstLine="0"/>
            </w:pPr>
            <w:r>
              <w:rPr>
                <w:rFonts w:ascii="Times New Roman" w:hAnsi="Times New Roman"/>
                <w:sz w:val="16"/>
              </w:rPr>
              <w:t>Water</w:t>
            </w:r>
          </w:p>
        </w:tc>
        <w:tc>
          <w:tcPr>
            <w:tcW w:type="dxa" w:w="1474"/>
            <w:vAlign w:val="center"/>
          </w:tcPr>
          <w:p>
            <w:pPr>
              <w:keepNext/>
              <w:spacing w:after="40" w:before="20" w:line="240" w:lineRule="auto"/>
              <w:ind w:firstLine="0"/>
            </w:pPr>
            <w:r>
              <w:rPr>
                <w:rFonts w:ascii="Times New Roman" w:hAnsi="Times New Roman"/>
                <w:sz w:val="16"/>
              </w:rPr>
              <w:t>17.69</w:t>
            </w:r>
          </w:p>
        </w:tc>
        <w:tc>
          <w:tcPr>
            <w:tcW w:type="dxa" w:w="1491"/>
            <w:vAlign w:val="center"/>
          </w:tcPr>
          <w:p>
            <w:pPr>
              <w:keepNext/>
              <w:spacing w:after="40" w:before="20" w:line="240" w:lineRule="auto"/>
              <w:ind w:firstLine="0"/>
            </w:pPr>
            <w:r>
              <w:rPr>
                <w:rFonts w:ascii="Times New Roman" w:hAnsi="Times New Roman"/>
                <w:sz w:val="16"/>
              </w:rPr>
              <w:t>18.33</w:t>
            </w:r>
          </w:p>
        </w:tc>
      </w:tr>
      <w:tr>
        <w:trPr>
          <w:cantSplit/>
        </w:trPr>
        <w:tc>
          <w:tcPr>
            <w:tcW w:type="dxa" w:w="1928"/>
            <w:vAlign w:val="center"/>
          </w:tcPr>
          <w:p>
            <w:pPr>
              <w:keepNext/>
              <w:spacing w:after="40" w:before="20" w:line="240" w:lineRule="auto"/>
              <w:ind w:firstLine="0"/>
            </w:pPr>
            <w:r>
              <w:rPr>
                <w:rFonts w:ascii="Times New Roman" w:hAnsi="Times New Roman"/>
                <w:sz w:val="16"/>
              </w:rPr>
              <w:t>Rail</w:t>
            </w:r>
          </w:p>
        </w:tc>
        <w:tc>
          <w:tcPr>
            <w:tcW w:type="dxa" w:w="1474"/>
            <w:vAlign w:val="center"/>
          </w:tcPr>
          <w:p>
            <w:pPr>
              <w:keepNext/>
              <w:spacing w:after="40" w:before="20" w:line="240" w:lineRule="auto"/>
              <w:ind w:firstLine="0"/>
            </w:pPr>
            <w:r>
              <w:rPr>
                <w:rFonts w:ascii="Times New Roman" w:hAnsi="Times New Roman"/>
                <w:sz w:val="16"/>
              </w:rPr>
              <w:t>10.58</w:t>
            </w:r>
          </w:p>
        </w:tc>
        <w:tc>
          <w:tcPr>
            <w:tcW w:type="dxa" w:w="1491"/>
            <w:vAlign w:val="center"/>
          </w:tcPr>
          <w:p>
            <w:pPr>
              <w:keepNext/>
              <w:spacing w:after="40" w:before="20" w:line="240" w:lineRule="auto"/>
              <w:ind w:firstLine="0"/>
            </w:pPr>
            <w:r>
              <w:rPr>
                <w:rFonts w:ascii="Times New Roman" w:hAnsi="Times New Roman"/>
                <w:sz w:val="16"/>
              </w:rPr>
              <w:t>11.08</w:t>
            </w:r>
          </w:p>
        </w:tc>
      </w:tr>
      <w:tr>
        <w:trPr>
          <w:cantSplit/>
        </w:trPr>
        <w:tc>
          <w:tcPr>
            <w:tcW w:type="dxa" w:w="1928"/>
            <w:vAlign w:val="center"/>
          </w:tcPr>
          <w:p>
            <w:pPr>
              <w:keepNext/>
              <w:spacing w:after="40" w:before="20" w:line="240" w:lineRule="auto"/>
              <w:ind w:firstLine="0"/>
            </w:pPr>
            <w:r>
              <w:rPr>
                <w:rFonts w:ascii="Times New Roman" w:hAnsi="Times New Roman"/>
                <w:sz w:val="16"/>
              </w:rPr>
              <w:t>Air</w:t>
            </w:r>
          </w:p>
        </w:tc>
        <w:tc>
          <w:tcPr>
            <w:tcW w:type="dxa" w:w="1474"/>
            <w:vAlign w:val="center"/>
          </w:tcPr>
          <w:p>
            <w:pPr>
              <w:keepNext/>
              <w:spacing w:after="40" w:before="20" w:line="240" w:lineRule="auto"/>
              <w:ind w:firstLine="0"/>
            </w:pPr>
            <w:r>
              <w:rPr>
                <w:rFonts w:ascii="Times New Roman" w:hAnsi="Times New Roman"/>
                <w:sz w:val="16"/>
              </w:rPr>
              <w:t>11.36</w:t>
            </w:r>
          </w:p>
        </w:tc>
        <w:tc>
          <w:tcPr>
            <w:tcW w:type="dxa" w:w="1491"/>
            <w:vAlign w:val="center"/>
          </w:tcPr>
          <w:p>
            <w:pPr>
              <w:keepNext/>
              <w:spacing w:after="40" w:before="20" w:line="240" w:lineRule="auto"/>
              <w:ind w:firstLine="0"/>
            </w:pPr>
            <w:r>
              <w:rPr>
                <w:rFonts w:ascii="Times New Roman" w:hAnsi="Times New Roman"/>
                <w:sz w:val="16"/>
              </w:rPr>
              <w:t>11.27</w:t>
            </w:r>
          </w:p>
        </w:tc>
      </w:tr>
      <w:tr>
        <w:trPr>
          <w:cantSplit/>
        </w:trPr>
        <w:tc>
          <w:tcPr>
            <w:tcW w:type="dxa" w:w="1928"/>
            <w:vAlign w:val="center"/>
          </w:tcPr>
          <w:p>
            <w:pPr>
              <w:spacing w:after="40" w:before="20" w:line="240" w:lineRule="auto"/>
              <w:ind w:firstLine="0"/>
            </w:pPr>
            <w:r>
              <w:rPr>
                <w:rFonts w:ascii="Times New Roman" w:hAnsi="Times New Roman"/>
                <w:sz w:val="16"/>
              </w:rPr>
              <w:t>Territorial gap</w:t>
            </w:r>
          </w:p>
        </w:tc>
        <w:tc>
          <w:tcPr>
            <w:tcW w:type="dxa" w:w="1474"/>
            <w:vAlign w:val="center"/>
          </w:tcPr>
          <w:p>
            <w:pPr>
              <w:spacing w:after="40" w:before="20" w:line="240" w:lineRule="auto"/>
              <w:ind w:firstLine="0"/>
            </w:pPr>
            <w:r>
              <w:rPr>
                <w:rFonts w:ascii="Times New Roman" w:hAnsi="Times New Roman"/>
                <w:sz w:val="16"/>
              </w:rPr>
              <w:t>35.12</w:t>
            </w:r>
          </w:p>
        </w:tc>
        <w:tc>
          <w:tcPr>
            <w:tcW w:type="dxa" w:w="1491"/>
            <w:vAlign w:val="center"/>
          </w:tcPr>
          <w:p>
            <w:pPr>
              <w:spacing w:after="40" w:before="20" w:line="240" w:lineRule="auto"/>
              <w:ind w:firstLine="0"/>
            </w:pPr>
            <w:r>
              <w:rPr>
                <w:rFonts w:ascii="Times New Roman" w:hAnsi="Times New Roman"/>
                <w:sz w:val="16"/>
              </w:rPr>
              <w:t>34.09</w:t>
            </w:r>
          </w:p>
        </w:tc>
      </w:tr>
    </w:tbl>
    <w:p>
      <w:pPr>
        <w:spacing w:after="0"/>
      </w:pPr>
    </w:p>
    <w:p>
      <w:pPr>
        <w:jc w:val="both"/>
      </w:pPr>
      <w:r>
        <w:t>CRITIC assigns the largest weight to the territorial-gap score: 35.12% at 10 km and 34.09% at 25 km, compared with the assumed 10%. This reflects its dispersion and intercriteria contrast, not measured societal importance. At 10 km, CRITIC changes seven of ten provincial top-centre identities relative to both assumed and uniform weights. At 25 km it changes four of nine relative to assumed weights and three relative to uniform weights. The original allocation is thus not endorsed by this data-derived comparator. Criterion directions, decay scales, candidate sampling and masks remain analyst choices requiring substantive justification. Actual expert responses remain absent, and the main covering objective uses none of these weights.</w:t>
      </w:r>
    </w:p>
    <w:p>
      <w:pPr>
        <w:pStyle w:val="Heading2"/>
        <w:ind w:firstLine="0"/>
        <w:jc w:val="both"/>
      </w:pPr>
      <w:r>
        <w:t>L. New Urban Hub Location Results</w:t>
      </w:r>
    </w:p>
    <w:p>
      <w:pPr>
        <w:jc w:val="both"/>
      </w:pPr>
      <w:r>
        <w:t>All 24 new-centre optimizations terminate with solver status zero and optimality gap zero; recomputed unions match the objective. Their baseline differs from the earlier ten-selected-hub result: here all 26 existing hubs are fixed, and demand resolution is 5 km. Thus WorldPop main-road baseline coverage is 59.08%, not 50.97%; the corresponding GHS-POP value is 68.04%. These are assumed service-distance coverages, not observations of functioning services.</w:t>
      </w:r>
    </w:p>
    <w:p>
      <w:pPr>
        <w:keepNext/>
        <w:ind w:firstLine="0"/>
        <w:jc w:val="center"/>
      </w:pPr>
      <w:r>
        <w:rPr>
          <w:sz w:val="16"/>
        </w:rPr>
        <w:t>TABLE XIX</w:t>
        <w:br/>
        <w:t>ADDITIONAL CENTRES ON THE 25 KM CANDIDATE GRID</w:t>
      </w:r>
    </w:p>
    <w:tbl>
      <w:tblPr>
        <w:tblW w:type="dxa" w:w="4876"/>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907"/>
        <w:gridCol w:w="907"/>
        <w:gridCol w:w="454"/>
        <w:gridCol w:w="1304"/>
        <w:gridCol w:w="1304"/>
      </w:tblGrid>
      <w:tr>
        <w:trPr>
          <w:cantSplit/>
          <w:tblHeader/>
        </w:trPr>
        <w:tc>
          <w:tcPr>
            <w:tcW w:type="dxa" w:w="907"/>
            <w:vAlign w:val="center"/>
          </w:tcPr>
          <w:p>
            <w:pPr>
              <w:keepNext/>
              <w:spacing w:after="40" w:before="20" w:line="240" w:lineRule="auto"/>
              <w:ind w:firstLine="0"/>
            </w:pPr>
            <w:r>
              <w:rPr>
                <w:rFonts w:ascii="Times New Roman" w:hAnsi="Times New Roman"/>
                <w:b/>
                <w:sz w:val="16"/>
              </w:rPr>
              <w:t>Road set</w:t>
            </w:r>
          </w:p>
        </w:tc>
        <w:tc>
          <w:tcPr>
            <w:tcW w:type="dxa" w:w="907"/>
            <w:vAlign w:val="center"/>
          </w:tcPr>
          <w:p>
            <w:pPr>
              <w:keepNext/>
              <w:spacing w:after="40" w:before="20" w:line="240" w:lineRule="auto"/>
              <w:ind w:firstLine="0"/>
            </w:pPr>
            <w:r>
              <w:rPr>
                <w:rFonts w:ascii="Times New Roman" w:hAnsi="Times New Roman"/>
                <w:b/>
                <w:sz w:val="16"/>
              </w:rPr>
              <w:t>Product</w:t>
            </w:r>
          </w:p>
        </w:tc>
        <w:tc>
          <w:tcPr>
            <w:tcW w:type="dxa" w:w="454"/>
            <w:vAlign w:val="center"/>
          </w:tcPr>
          <w:p>
            <w:pPr>
              <w:keepNext/>
              <w:spacing w:after="40" w:before="20" w:line="240" w:lineRule="auto"/>
              <w:ind w:firstLine="0"/>
            </w:pPr>
            <w:r>
              <w:rPr>
                <w:rFonts w:ascii="Times New Roman" w:hAnsi="Times New Roman"/>
                <w:b/>
                <w:sz w:val="16"/>
              </w:rPr>
              <w:t>q</w:t>
            </w:r>
          </w:p>
        </w:tc>
        <w:tc>
          <w:tcPr>
            <w:tcW w:type="dxa" w:w="1304"/>
            <w:vAlign w:val="center"/>
          </w:tcPr>
          <w:p>
            <w:pPr>
              <w:keepNext/>
              <w:spacing w:after="40" w:before="20" w:line="240" w:lineRule="auto"/>
              <w:ind w:firstLine="0"/>
            </w:pPr>
            <w:r>
              <w:rPr>
                <w:rFonts w:ascii="Times New Roman" w:hAnsi="Times New Roman"/>
                <w:b/>
                <w:sz w:val="16"/>
              </w:rPr>
              <w:t>Coverage %</w:t>
            </w:r>
          </w:p>
        </w:tc>
        <w:tc>
          <w:tcPr>
            <w:tcW w:type="dxa" w:w="1304"/>
            <w:vAlign w:val="center"/>
          </w:tcPr>
          <w:p>
            <w:pPr>
              <w:keepNext/>
              <w:spacing w:after="40" w:before="20" w:line="240" w:lineRule="auto"/>
              <w:ind w:firstLine="0"/>
            </w:pPr>
            <w:r>
              <w:rPr>
                <w:rFonts w:ascii="Times New Roman" w:hAnsi="Times New Roman"/>
                <w:b/>
                <w:sz w:val="16"/>
              </w:rPr>
              <w:t>Gain pp</w:t>
            </w:r>
          </w:p>
        </w:tc>
      </w:tr>
      <w:tr>
        <w:trPr>
          <w:cantSplit/>
        </w:trPr>
        <w:tc>
          <w:tcPr>
            <w:tcW w:type="dxa" w:w="907"/>
            <w:vAlign w:val="center"/>
          </w:tcPr>
          <w:p>
            <w:pPr>
              <w:keepNext/>
              <w:spacing w:after="40" w:before="20" w:line="240" w:lineRule="auto"/>
              <w:ind w:firstLine="0"/>
            </w:pPr>
            <w:r>
              <w:rPr>
                <w:rFonts w:ascii="Times New Roman" w:hAnsi="Times New Roman"/>
                <w:sz w:val="16"/>
              </w:rPr>
              <w:t>Main</w:t>
            </w:r>
          </w:p>
        </w:tc>
        <w:tc>
          <w:tcPr>
            <w:tcW w:type="dxa" w:w="907"/>
            <w:vAlign w:val="center"/>
          </w:tcPr>
          <w:p>
            <w:pPr>
              <w:keepNext/>
              <w:spacing w:after="40" w:before="20" w:line="240" w:lineRule="auto"/>
              <w:ind w:firstLine="0"/>
            </w:pPr>
            <w:r>
              <w:rPr>
                <w:rFonts w:ascii="Times New Roman" w:hAnsi="Times New Roman"/>
                <w:sz w:val="16"/>
              </w:rPr>
              <w:t>GHS</w:t>
            </w:r>
          </w:p>
        </w:tc>
        <w:tc>
          <w:tcPr>
            <w:tcW w:type="dxa" w:w="454"/>
            <w:vAlign w:val="center"/>
          </w:tcPr>
          <w:p>
            <w:pPr>
              <w:keepNext/>
              <w:spacing w:after="40" w:before="20" w:line="240" w:lineRule="auto"/>
              <w:ind w:firstLine="0"/>
            </w:pPr>
            <w:r>
              <w:rPr>
                <w:rFonts w:ascii="Times New Roman" w:hAnsi="Times New Roman"/>
                <w:sz w:val="16"/>
              </w:rPr>
              <w:t>3</w:t>
            </w:r>
          </w:p>
        </w:tc>
        <w:tc>
          <w:tcPr>
            <w:tcW w:type="dxa" w:w="1304"/>
            <w:vAlign w:val="center"/>
          </w:tcPr>
          <w:p>
            <w:pPr>
              <w:keepNext/>
              <w:spacing w:after="40" w:before="20" w:line="240" w:lineRule="auto"/>
              <w:ind w:firstLine="0"/>
            </w:pPr>
            <w:r>
              <w:rPr>
                <w:rFonts w:ascii="Times New Roman" w:hAnsi="Times New Roman"/>
                <w:sz w:val="16"/>
              </w:rPr>
              <w:t>70.81</w:t>
            </w:r>
          </w:p>
        </w:tc>
        <w:tc>
          <w:tcPr>
            <w:tcW w:type="dxa" w:w="1304"/>
            <w:vAlign w:val="center"/>
          </w:tcPr>
          <w:p>
            <w:pPr>
              <w:keepNext/>
              <w:spacing w:after="40" w:before="20" w:line="240" w:lineRule="auto"/>
              <w:ind w:firstLine="0"/>
            </w:pPr>
            <w:r>
              <w:rPr>
                <w:rFonts w:ascii="Times New Roman" w:hAnsi="Times New Roman"/>
                <w:sz w:val="16"/>
              </w:rPr>
              <w:t>2.76</w:t>
            </w:r>
          </w:p>
        </w:tc>
      </w:tr>
      <w:tr>
        <w:trPr>
          <w:cantSplit/>
        </w:trPr>
        <w:tc>
          <w:tcPr>
            <w:tcW w:type="dxa" w:w="907"/>
            <w:vAlign w:val="center"/>
          </w:tcPr>
          <w:p>
            <w:pPr>
              <w:keepNext/>
              <w:spacing w:after="40" w:before="20" w:line="240" w:lineRule="auto"/>
              <w:ind w:firstLine="0"/>
            </w:pPr>
            <w:r>
              <w:rPr>
                <w:rFonts w:ascii="Times New Roman" w:hAnsi="Times New Roman"/>
                <w:sz w:val="16"/>
              </w:rPr>
              <w:t>Main</w:t>
            </w:r>
          </w:p>
        </w:tc>
        <w:tc>
          <w:tcPr>
            <w:tcW w:type="dxa" w:w="907"/>
            <w:vAlign w:val="center"/>
          </w:tcPr>
          <w:p>
            <w:pPr>
              <w:keepNext/>
              <w:spacing w:after="40" w:before="20" w:line="240" w:lineRule="auto"/>
              <w:ind w:firstLine="0"/>
            </w:pPr>
            <w:r>
              <w:rPr>
                <w:rFonts w:ascii="Times New Roman" w:hAnsi="Times New Roman"/>
                <w:sz w:val="16"/>
              </w:rPr>
              <w:t>GHS</w:t>
            </w:r>
          </w:p>
        </w:tc>
        <w:tc>
          <w:tcPr>
            <w:tcW w:type="dxa" w:w="454"/>
            <w:vAlign w:val="center"/>
          </w:tcPr>
          <w:p>
            <w:pPr>
              <w:keepNext/>
              <w:spacing w:after="40" w:before="20" w:line="240" w:lineRule="auto"/>
              <w:ind w:firstLine="0"/>
            </w:pPr>
            <w:r>
              <w:rPr>
                <w:rFonts w:ascii="Times New Roman" w:hAnsi="Times New Roman"/>
                <w:sz w:val="16"/>
              </w:rPr>
              <w:t>5</w:t>
            </w:r>
          </w:p>
        </w:tc>
        <w:tc>
          <w:tcPr>
            <w:tcW w:type="dxa" w:w="1304"/>
            <w:vAlign w:val="center"/>
          </w:tcPr>
          <w:p>
            <w:pPr>
              <w:keepNext/>
              <w:spacing w:after="40" w:before="20" w:line="240" w:lineRule="auto"/>
              <w:ind w:firstLine="0"/>
            </w:pPr>
            <w:r>
              <w:rPr>
                <w:rFonts w:ascii="Times New Roman" w:hAnsi="Times New Roman"/>
                <w:sz w:val="16"/>
              </w:rPr>
              <w:t>72.50</w:t>
            </w:r>
          </w:p>
        </w:tc>
        <w:tc>
          <w:tcPr>
            <w:tcW w:type="dxa" w:w="1304"/>
            <w:vAlign w:val="center"/>
          </w:tcPr>
          <w:p>
            <w:pPr>
              <w:keepNext/>
              <w:spacing w:after="40" w:before="20" w:line="240" w:lineRule="auto"/>
              <w:ind w:firstLine="0"/>
            </w:pPr>
            <w:r>
              <w:rPr>
                <w:rFonts w:ascii="Times New Roman" w:hAnsi="Times New Roman"/>
                <w:sz w:val="16"/>
              </w:rPr>
              <w:t>4.46</w:t>
            </w:r>
          </w:p>
        </w:tc>
      </w:tr>
      <w:tr>
        <w:trPr>
          <w:cantSplit/>
        </w:trPr>
        <w:tc>
          <w:tcPr>
            <w:tcW w:type="dxa" w:w="907"/>
            <w:vAlign w:val="center"/>
          </w:tcPr>
          <w:p>
            <w:pPr>
              <w:keepNext/>
              <w:spacing w:after="40" w:before="20" w:line="240" w:lineRule="auto"/>
              <w:ind w:firstLine="0"/>
            </w:pPr>
            <w:r>
              <w:rPr>
                <w:rFonts w:ascii="Times New Roman" w:hAnsi="Times New Roman"/>
                <w:sz w:val="16"/>
              </w:rPr>
              <w:t>Main</w:t>
            </w:r>
          </w:p>
        </w:tc>
        <w:tc>
          <w:tcPr>
            <w:tcW w:type="dxa" w:w="907"/>
            <w:vAlign w:val="center"/>
          </w:tcPr>
          <w:p>
            <w:pPr>
              <w:keepNext/>
              <w:spacing w:after="40" w:before="20" w:line="240" w:lineRule="auto"/>
              <w:ind w:firstLine="0"/>
            </w:pPr>
            <w:r>
              <w:rPr>
                <w:rFonts w:ascii="Times New Roman" w:hAnsi="Times New Roman"/>
                <w:sz w:val="16"/>
              </w:rPr>
              <w:t>GHS</w:t>
            </w:r>
          </w:p>
        </w:tc>
        <w:tc>
          <w:tcPr>
            <w:tcW w:type="dxa" w:w="454"/>
            <w:vAlign w:val="center"/>
          </w:tcPr>
          <w:p>
            <w:pPr>
              <w:keepNext/>
              <w:spacing w:after="40" w:before="20" w:line="240" w:lineRule="auto"/>
              <w:ind w:firstLine="0"/>
            </w:pPr>
            <w:r>
              <w:rPr>
                <w:rFonts w:ascii="Times New Roman" w:hAnsi="Times New Roman"/>
                <w:sz w:val="16"/>
              </w:rPr>
              <w:t>10</w:t>
            </w:r>
          </w:p>
        </w:tc>
        <w:tc>
          <w:tcPr>
            <w:tcW w:type="dxa" w:w="1304"/>
            <w:vAlign w:val="center"/>
          </w:tcPr>
          <w:p>
            <w:pPr>
              <w:keepNext/>
              <w:spacing w:after="40" w:before="20" w:line="240" w:lineRule="auto"/>
              <w:ind w:firstLine="0"/>
            </w:pPr>
            <w:r>
              <w:rPr>
                <w:rFonts w:ascii="Times New Roman" w:hAnsi="Times New Roman"/>
                <w:sz w:val="16"/>
              </w:rPr>
              <w:t>75.96</w:t>
            </w:r>
          </w:p>
        </w:tc>
        <w:tc>
          <w:tcPr>
            <w:tcW w:type="dxa" w:w="1304"/>
            <w:vAlign w:val="center"/>
          </w:tcPr>
          <w:p>
            <w:pPr>
              <w:keepNext/>
              <w:spacing w:after="40" w:before="20" w:line="240" w:lineRule="auto"/>
              <w:ind w:firstLine="0"/>
            </w:pPr>
            <w:r>
              <w:rPr>
                <w:rFonts w:ascii="Times New Roman" w:hAnsi="Times New Roman"/>
                <w:sz w:val="16"/>
              </w:rPr>
              <w:t>7.91</w:t>
            </w:r>
          </w:p>
        </w:tc>
      </w:tr>
      <w:tr>
        <w:trPr>
          <w:cantSplit/>
        </w:trPr>
        <w:tc>
          <w:tcPr>
            <w:tcW w:type="dxa" w:w="907"/>
            <w:vAlign w:val="center"/>
          </w:tcPr>
          <w:p>
            <w:pPr>
              <w:keepNext/>
              <w:spacing w:after="40" w:before="20" w:line="240" w:lineRule="auto"/>
              <w:ind w:firstLine="0"/>
            </w:pPr>
            <w:r>
              <w:rPr>
                <w:rFonts w:ascii="Times New Roman" w:hAnsi="Times New Roman"/>
                <w:sz w:val="16"/>
              </w:rPr>
              <w:t>Main</w:t>
            </w:r>
          </w:p>
        </w:tc>
        <w:tc>
          <w:tcPr>
            <w:tcW w:type="dxa" w:w="907"/>
            <w:vAlign w:val="center"/>
          </w:tcPr>
          <w:p>
            <w:pPr>
              <w:keepNext/>
              <w:spacing w:after="40" w:before="20" w:line="240" w:lineRule="auto"/>
              <w:ind w:firstLine="0"/>
            </w:pPr>
            <w:r>
              <w:rPr>
                <w:rFonts w:ascii="Times New Roman" w:hAnsi="Times New Roman"/>
                <w:sz w:val="16"/>
              </w:rPr>
              <w:t>WP</w:t>
            </w:r>
          </w:p>
        </w:tc>
        <w:tc>
          <w:tcPr>
            <w:tcW w:type="dxa" w:w="454"/>
            <w:vAlign w:val="center"/>
          </w:tcPr>
          <w:p>
            <w:pPr>
              <w:keepNext/>
              <w:spacing w:after="40" w:before="20" w:line="240" w:lineRule="auto"/>
              <w:ind w:firstLine="0"/>
            </w:pPr>
            <w:r>
              <w:rPr>
                <w:rFonts w:ascii="Times New Roman" w:hAnsi="Times New Roman"/>
                <w:sz w:val="16"/>
              </w:rPr>
              <w:t>3</w:t>
            </w:r>
          </w:p>
        </w:tc>
        <w:tc>
          <w:tcPr>
            <w:tcW w:type="dxa" w:w="1304"/>
            <w:vAlign w:val="center"/>
          </w:tcPr>
          <w:p>
            <w:pPr>
              <w:keepNext/>
              <w:spacing w:after="40" w:before="20" w:line="240" w:lineRule="auto"/>
              <w:ind w:firstLine="0"/>
            </w:pPr>
            <w:r>
              <w:rPr>
                <w:rFonts w:ascii="Times New Roman" w:hAnsi="Times New Roman"/>
                <w:sz w:val="16"/>
              </w:rPr>
              <w:t>62.59</w:t>
            </w:r>
          </w:p>
        </w:tc>
        <w:tc>
          <w:tcPr>
            <w:tcW w:type="dxa" w:w="1304"/>
            <w:vAlign w:val="center"/>
          </w:tcPr>
          <w:p>
            <w:pPr>
              <w:keepNext/>
              <w:spacing w:after="40" w:before="20" w:line="240" w:lineRule="auto"/>
              <w:ind w:firstLine="0"/>
            </w:pPr>
            <w:r>
              <w:rPr>
                <w:rFonts w:ascii="Times New Roman" w:hAnsi="Times New Roman"/>
                <w:sz w:val="16"/>
              </w:rPr>
              <w:t>3.52</w:t>
            </w:r>
          </w:p>
        </w:tc>
      </w:tr>
      <w:tr>
        <w:trPr>
          <w:cantSplit/>
        </w:trPr>
        <w:tc>
          <w:tcPr>
            <w:tcW w:type="dxa" w:w="907"/>
            <w:vAlign w:val="center"/>
          </w:tcPr>
          <w:p>
            <w:pPr>
              <w:keepNext/>
              <w:spacing w:after="40" w:before="20" w:line="240" w:lineRule="auto"/>
              <w:ind w:firstLine="0"/>
            </w:pPr>
            <w:r>
              <w:rPr>
                <w:rFonts w:ascii="Times New Roman" w:hAnsi="Times New Roman"/>
                <w:sz w:val="16"/>
              </w:rPr>
              <w:t>Main</w:t>
            </w:r>
          </w:p>
        </w:tc>
        <w:tc>
          <w:tcPr>
            <w:tcW w:type="dxa" w:w="907"/>
            <w:vAlign w:val="center"/>
          </w:tcPr>
          <w:p>
            <w:pPr>
              <w:keepNext/>
              <w:spacing w:after="40" w:before="20" w:line="240" w:lineRule="auto"/>
              <w:ind w:firstLine="0"/>
            </w:pPr>
            <w:r>
              <w:rPr>
                <w:rFonts w:ascii="Times New Roman" w:hAnsi="Times New Roman"/>
                <w:sz w:val="16"/>
              </w:rPr>
              <w:t>WP</w:t>
            </w:r>
          </w:p>
        </w:tc>
        <w:tc>
          <w:tcPr>
            <w:tcW w:type="dxa" w:w="454"/>
            <w:vAlign w:val="center"/>
          </w:tcPr>
          <w:p>
            <w:pPr>
              <w:keepNext/>
              <w:spacing w:after="40" w:before="20" w:line="240" w:lineRule="auto"/>
              <w:ind w:firstLine="0"/>
            </w:pPr>
            <w:r>
              <w:rPr>
                <w:rFonts w:ascii="Times New Roman" w:hAnsi="Times New Roman"/>
                <w:sz w:val="16"/>
              </w:rPr>
              <w:t>5</w:t>
            </w:r>
          </w:p>
        </w:tc>
        <w:tc>
          <w:tcPr>
            <w:tcW w:type="dxa" w:w="1304"/>
            <w:vAlign w:val="center"/>
          </w:tcPr>
          <w:p>
            <w:pPr>
              <w:keepNext/>
              <w:spacing w:after="40" w:before="20" w:line="240" w:lineRule="auto"/>
              <w:ind w:firstLine="0"/>
            </w:pPr>
            <w:r>
              <w:rPr>
                <w:rFonts w:ascii="Times New Roman" w:hAnsi="Times New Roman"/>
                <w:sz w:val="16"/>
              </w:rPr>
              <w:t>64.68</w:t>
            </w:r>
          </w:p>
        </w:tc>
        <w:tc>
          <w:tcPr>
            <w:tcW w:type="dxa" w:w="1304"/>
            <w:vAlign w:val="center"/>
          </w:tcPr>
          <w:p>
            <w:pPr>
              <w:keepNext/>
              <w:spacing w:after="40" w:before="20" w:line="240" w:lineRule="auto"/>
              <w:ind w:firstLine="0"/>
            </w:pPr>
            <w:r>
              <w:rPr>
                <w:rFonts w:ascii="Times New Roman" w:hAnsi="Times New Roman"/>
                <w:sz w:val="16"/>
              </w:rPr>
              <w:t>5.61</w:t>
            </w:r>
          </w:p>
        </w:tc>
      </w:tr>
      <w:tr>
        <w:trPr>
          <w:cantSplit/>
        </w:trPr>
        <w:tc>
          <w:tcPr>
            <w:tcW w:type="dxa" w:w="907"/>
            <w:vAlign w:val="center"/>
          </w:tcPr>
          <w:p>
            <w:pPr>
              <w:keepNext/>
              <w:spacing w:after="40" w:before="20" w:line="240" w:lineRule="auto"/>
              <w:ind w:firstLine="0"/>
            </w:pPr>
            <w:r>
              <w:rPr>
                <w:rFonts w:ascii="Times New Roman" w:hAnsi="Times New Roman"/>
                <w:sz w:val="16"/>
              </w:rPr>
              <w:t>Main</w:t>
            </w:r>
          </w:p>
        </w:tc>
        <w:tc>
          <w:tcPr>
            <w:tcW w:type="dxa" w:w="907"/>
            <w:vAlign w:val="center"/>
          </w:tcPr>
          <w:p>
            <w:pPr>
              <w:keepNext/>
              <w:spacing w:after="40" w:before="20" w:line="240" w:lineRule="auto"/>
              <w:ind w:firstLine="0"/>
            </w:pPr>
            <w:r>
              <w:rPr>
                <w:rFonts w:ascii="Times New Roman" w:hAnsi="Times New Roman"/>
                <w:sz w:val="16"/>
              </w:rPr>
              <w:t>WP</w:t>
            </w:r>
          </w:p>
        </w:tc>
        <w:tc>
          <w:tcPr>
            <w:tcW w:type="dxa" w:w="454"/>
            <w:vAlign w:val="center"/>
          </w:tcPr>
          <w:p>
            <w:pPr>
              <w:keepNext/>
              <w:spacing w:after="40" w:before="20" w:line="240" w:lineRule="auto"/>
              <w:ind w:firstLine="0"/>
            </w:pPr>
            <w:r>
              <w:rPr>
                <w:rFonts w:ascii="Times New Roman" w:hAnsi="Times New Roman"/>
                <w:sz w:val="16"/>
              </w:rPr>
              <w:t>10</w:t>
            </w:r>
          </w:p>
        </w:tc>
        <w:tc>
          <w:tcPr>
            <w:tcW w:type="dxa" w:w="1304"/>
            <w:vAlign w:val="center"/>
          </w:tcPr>
          <w:p>
            <w:pPr>
              <w:keepNext/>
              <w:spacing w:after="40" w:before="20" w:line="240" w:lineRule="auto"/>
              <w:ind w:firstLine="0"/>
            </w:pPr>
            <w:r>
              <w:rPr>
                <w:rFonts w:ascii="Times New Roman" w:hAnsi="Times New Roman"/>
                <w:sz w:val="16"/>
              </w:rPr>
              <w:t>69.17</w:t>
            </w:r>
          </w:p>
        </w:tc>
        <w:tc>
          <w:tcPr>
            <w:tcW w:type="dxa" w:w="1304"/>
            <w:vAlign w:val="center"/>
          </w:tcPr>
          <w:p>
            <w:pPr>
              <w:keepNext/>
              <w:spacing w:after="40" w:before="20" w:line="240" w:lineRule="auto"/>
              <w:ind w:firstLine="0"/>
            </w:pPr>
            <w:r>
              <w:rPr>
                <w:rFonts w:ascii="Times New Roman" w:hAnsi="Times New Roman"/>
                <w:sz w:val="16"/>
              </w:rPr>
              <w:t>10.09</w:t>
            </w:r>
          </w:p>
        </w:tc>
      </w:tr>
      <w:tr>
        <w:trPr>
          <w:cantSplit/>
        </w:trPr>
        <w:tc>
          <w:tcPr>
            <w:tcW w:type="dxa" w:w="907"/>
            <w:vAlign w:val="center"/>
          </w:tcPr>
          <w:p>
            <w:pPr>
              <w:keepNext/>
              <w:spacing w:after="40" w:before="20" w:line="240" w:lineRule="auto"/>
              <w:ind w:firstLine="0"/>
            </w:pPr>
            <w:r>
              <w:rPr>
                <w:rFonts w:ascii="Times New Roman" w:hAnsi="Times New Roman"/>
                <w:sz w:val="16"/>
              </w:rPr>
              <w:t>Tracks</w:t>
            </w:r>
          </w:p>
        </w:tc>
        <w:tc>
          <w:tcPr>
            <w:tcW w:type="dxa" w:w="907"/>
            <w:vAlign w:val="center"/>
          </w:tcPr>
          <w:p>
            <w:pPr>
              <w:keepNext/>
              <w:spacing w:after="40" w:before="20" w:line="240" w:lineRule="auto"/>
              <w:ind w:firstLine="0"/>
            </w:pPr>
            <w:r>
              <w:rPr>
                <w:rFonts w:ascii="Times New Roman" w:hAnsi="Times New Roman"/>
                <w:sz w:val="16"/>
              </w:rPr>
              <w:t>GHS</w:t>
            </w:r>
          </w:p>
        </w:tc>
        <w:tc>
          <w:tcPr>
            <w:tcW w:type="dxa" w:w="454"/>
            <w:vAlign w:val="center"/>
          </w:tcPr>
          <w:p>
            <w:pPr>
              <w:keepNext/>
              <w:spacing w:after="40" w:before="20" w:line="240" w:lineRule="auto"/>
              <w:ind w:firstLine="0"/>
            </w:pPr>
            <w:r>
              <w:rPr>
                <w:rFonts w:ascii="Times New Roman" w:hAnsi="Times New Roman"/>
                <w:sz w:val="16"/>
              </w:rPr>
              <w:t>3</w:t>
            </w:r>
          </w:p>
        </w:tc>
        <w:tc>
          <w:tcPr>
            <w:tcW w:type="dxa" w:w="1304"/>
            <w:vAlign w:val="center"/>
          </w:tcPr>
          <w:p>
            <w:pPr>
              <w:keepNext/>
              <w:spacing w:after="40" w:before="20" w:line="240" w:lineRule="auto"/>
              <w:ind w:firstLine="0"/>
            </w:pPr>
            <w:r>
              <w:rPr>
                <w:rFonts w:ascii="Times New Roman" w:hAnsi="Times New Roman"/>
                <w:sz w:val="16"/>
              </w:rPr>
              <w:t>71.29</w:t>
            </w:r>
          </w:p>
        </w:tc>
        <w:tc>
          <w:tcPr>
            <w:tcW w:type="dxa" w:w="1304"/>
            <w:vAlign w:val="center"/>
          </w:tcPr>
          <w:p>
            <w:pPr>
              <w:keepNext/>
              <w:spacing w:after="40" w:before="20" w:line="240" w:lineRule="auto"/>
              <w:ind w:firstLine="0"/>
            </w:pPr>
            <w:r>
              <w:rPr>
                <w:rFonts w:ascii="Times New Roman" w:hAnsi="Times New Roman"/>
                <w:sz w:val="16"/>
              </w:rPr>
              <w:t>3.06</w:t>
            </w:r>
          </w:p>
        </w:tc>
      </w:tr>
      <w:tr>
        <w:trPr>
          <w:cantSplit/>
        </w:trPr>
        <w:tc>
          <w:tcPr>
            <w:tcW w:type="dxa" w:w="907"/>
            <w:vAlign w:val="center"/>
          </w:tcPr>
          <w:p>
            <w:pPr>
              <w:keepNext/>
              <w:spacing w:after="40" w:before="20" w:line="240" w:lineRule="auto"/>
              <w:ind w:firstLine="0"/>
            </w:pPr>
            <w:r>
              <w:rPr>
                <w:rFonts w:ascii="Times New Roman" w:hAnsi="Times New Roman"/>
                <w:sz w:val="16"/>
              </w:rPr>
              <w:t>Tracks</w:t>
            </w:r>
          </w:p>
        </w:tc>
        <w:tc>
          <w:tcPr>
            <w:tcW w:type="dxa" w:w="907"/>
            <w:vAlign w:val="center"/>
          </w:tcPr>
          <w:p>
            <w:pPr>
              <w:keepNext/>
              <w:spacing w:after="40" w:before="20" w:line="240" w:lineRule="auto"/>
              <w:ind w:firstLine="0"/>
            </w:pPr>
            <w:r>
              <w:rPr>
                <w:rFonts w:ascii="Times New Roman" w:hAnsi="Times New Roman"/>
                <w:sz w:val="16"/>
              </w:rPr>
              <w:t>GHS</w:t>
            </w:r>
          </w:p>
        </w:tc>
        <w:tc>
          <w:tcPr>
            <w:tcW w:type="dxa" w:w="454"/>
            <w:vAlign w:val="center"/>
          </w:tcPr>
          <w:p>
            <w:pPr>
              <w:keepNext/>
              <w:spacing w:after="40" w:before="20" w:line="240" w:lineRule="auto"/>
              <w:ind w:firstLine="0"/>
            </w:pPr>
            <w:r>
              <w:rPr>
                <w:rFonts w:ascii="Times New Roman" w:hAnsi="Times New Roman"/>
                <w:sz w:val="16"/>
              </w:rPr>
              <w:t>5</w:t>
            </w:r>
          </w:p>
        </w:tc>
        <w:tc>
          <w:tcPr>
            <w:tcW w:type="dxa" w:w="1304"/>
            <w:vAlign w:val="center"/>
          </w:tcPr>
          <w:p>
            <w:pPr>
              <w:keepNext/>
              <w:spacing w:after="40" w:before="20" w:line="240" w:lineRule="auto"/>
              <w:ind w:firstLine="0"/>
            </w:pPr>
            <w:r>
              <w:rPr>
                <w:rFonts w:ascii="Times New Roman" w:hAnsi="Times New Roman"/>
                <w:sz w:val="16"/>
              </w:rPr>
              <w:t>73.02</w:t>
            </w:r>
          </w:p>
        </w:tc>
        <w:tc>
          <w:tcPr>
            <w:tcW w:type="dxa" w:w="1304"/>
            <w:vAlign w:val="center"/>
          </w:tcPr>
          <w:p>
            <w:pPr>
              <w:keepNext/>
              <w:spacing w:after="40" w:before="20" w:line="240" w:lineRule="auto"/>
              <w:ind w:firstLine="0"/>
            </w:pPr>
            <w:r>
              <w:rPr>
                <w:rFonts w:ascii="Times New Roman" w:hAnsi="Times New Roman"/>
                <w:sz w:val="16"/>
              </w:rPr>
              <w:t>4.79</w:t>
            </w:r>
          </w:p>
        </w:tc>
      </w:tr>
      <w:tr>
        <w:trPr>
          <w:cantSplit/>
        </w:trPr>
        <w:tc>
          <w:tcPr>
            <w:tcW w:type="dxa" w:w="907"/>
            <w:vAlign w:val="center"/>
          </w:tcPr>
          <w:p>
            <w:pPr>
              <w:keepNext/>
              <w:spacing w:after="40" w:before="20" w:line="240" w:lineRule="auto"/>
              <w:ind w:firstLine="0"/>
            </w:pPr>
            <w:r>
              <w:rPr>
                <w:rFonts w:ascii="Times New Roman" w:hAnsi="Times New Roman"/>
                <w:sz w:val="16"/>
              </w:rPr>
              <w:t>Tracks</w:t>
            </w:r>
          </w:p>
        </w:tc>
        <w:tc>
          <w:tcPr>
            <w:tcW w:type="dxa" w:w="907"/>
            <w:vAlign w:val="center"/>
          </w:tcPr>
          <w:p>
            <w:pPr>
              <w:keepNext/>
              <w:spacing w:after="40" w:before="20" w:line="240" w:lineRule="auto"/>
              <w:ind w:firstLine="0"/>
            </w:pPr>
            <w:r>
              <w:rPr>
                <w:rFonts w:ascii="Times New Roman" w:hAnsi="Times New Roman"/>
                <w:sz w:val="16"/>
              </w:rPr>
              <w:t>GHS</w:t>
            </w:r>
          </w:p>
        </w:tc>
        <w:tc>
          <w:tcPr>
            <w:tcW w:type="dxa" w:w="454"/>
            <w:vAlign w:val="center"/>
          </w:tcPr>
          <w:p>
            <w:pPr>
              <w:keepNext/>
              <w:spacing w:after="40" w:before="20" w:line="240" w:lineRule="auto"/>
              <w:ind w:firstLine="0"/>
            </w:pPr>
            <w:r>
              <w:rPr>
                <w:rFonts w:ascii="Times New Roman" w:hAnsi="Times New Roman"/>
                <w:sz w:val="16"/>
              </w:rPr>
              <w:t>10</w:t>
            </w:r>
          </w:p>
        </w:tc>
        <w:tc>
          <w:tcPr>
            <w:tcW w:type="dxa" w:w="1304"/>
            <w:vAlign w:val="center"/>
          </w:tcPr>
          <w:p>
            <w:pPr>
              <w:keepNext/>
              <w:spacing w:after="40" w:before="20" w:line="240" w:lineRule="auto"/>
              <w:ind w:firstLine="0"/>
            </w:pPr>
            <w:r>
              <w:rPr>
                <w:rFonts w:ascii="Times New Roman" w:hAnsi="Times New Roman"/>
                <w:sz w:val="16"/>
              </w:rPr>
              <w:t>76.67</w:t>
            </w:r>
          </w:p>
        </w:tc>
        <w:tc>
          <w:tcPr>
            <w:tcW w:type="dxa" w:w="1304"/>
            <w:vAlign w:val="center"/>
          </w:tcPr>
          <w:p>
            <w:pPr>
              <w:keepNext/>
              <w:spacing w:after="40" w:before="20" w:line="240" w:lineRule="auto"/>
              <w:ind w:firstLine="0"/>
            </w:pPr>
            <w:r>
              <w:rPr>
                <w:rFonts w:ascii="Times New Roman" w:hAnsi="Times New Roman"/>
                <w:sz w:val="16"/>
              </w:rPr>
              <w:t>8.44</w:t>
            </w:r>
          </w:p>
        </w:tc>
      </w:tr>
      <w:tr>
        <w:trPr>
          <w:cantSplit/>
        </w:trPr>
        <w:tc>
          <w:tcPr>
            <w:tcW w:type="dxa" w:w="907"/>
            <w:vAlign w:val="center"/>
          </w:tcPr>
          <w:p>
            <w:pPr>
              <w:keepNext/>
              <w:spacing w:after="40" w:before="20" w:line="240" w:lineRule="auto"/>
              <w:ind w:firstLine="0"/>
            </w:pPr>
            <w:r>
              <w:rPr>
                <w:rFonts w:ascii="Times New Roman" w:hAnsi="Times New Roman"/>
                <w:sz w:val="16"/>
              </w:rPr>
              <w:t>Tracks</w:t>
            </w:r>
          </w:p>
        </w:tc>
        <w:tc>
          <w:tcPr>
            <w:tcW w:type="dxa" w:w="907"/>
            <w:vAlign w:val="center"/>
          </w:tcPr>
          <w:p>
            <w:pPr>
              <w:keepNext/>
              <w:spacing w:after="40" w:before="20" w:line="240" w:lineRule="auto"/>
              <w:ind w:firstLine="0"/>
            </w:pPr>
            <w:r>
              <w:rPr>
                <w:rFonts w:ascii="Times New Roman" w:hAnsi="Times New Roman"/>
                <w:sz w:val="16"/>
              </w:rPr>
              <w:t>WP</w:t>
            </w:r>
          </w:p>
        </w:tc>
        <w:tc>
          <w:tcPr>
            <w:tcW w:type="dxa" w:w="454"/>
            <w:vAlign w:val="center"/>
          </w:tcPr>
          <w:p>
            <w:pPr>
              <w:keepNext/>
              <w:spacing w:after="40" w:before="20" w:line="240" w:lineRule="auto"/>
              <w:ind w:firstLine="0"/>
            </w:pPr>
            <w:r>
              <w:rPr>
                <w:rFonts w:ascii="Times New Roman" w:hAnsi="Times New Roman"/>
                <w:sz w:val="16"/>
              </w:rPr>
              <w:t>3</w:t>
            </w:r>
          </w:p>
        </w:tc>
        <w:tc>
          <w:tcPr>
            <w:tcW w:type="dxa" w:w="1304"/>
            <w:vAlign w:val="center"/>
          </w:tcPr>
          <w:p>
            <w:pPr>
              <w:keepNext/>
              <w:spacing w:after="40" w:before="20" w:line="240" w:lineRule="auto"/>
              <w:ind w:firstLine="0"/>
            </w:pPr>
            <w:r>
              <w:rPr>
                <w:rFonts w:ascii="Times New Roman" w:hAnsi="Times New Roman"/>
                <w:sz w:val="16"/>
              </w:rPr>
              <w:t>63.91</w:t>
            </w:r>
          </w:p>
        </w:tc>
        <w:tc>
          <w:tcPr>
            <w:tcW w:type="dxa" w:w="1304"/>
            <w:vAlign w:val="center"/>
          </w:tcPr>
          <w:p>
            <w:pPr>
              <w:keepNext/>
              <w:spacing w:after="40" w:before="20" w:line="240" w:lineRule="auto"/>
              <w:ind w:firstLine="0"/>
            </w:pPr>
            <w:r>
              <w:rPr>
                <w:rFonts w:ascii="Times New Roman" w:hAnsi="Times New Roman"/>
                <w:sz w:val="16"/>
              </w:rPr>
              <w:t>4.59</w:t>
            </w:r>
          </w:p>
        </w:tc>
      </w:tr>
      <w:tr>
        <w:trPr>
          <w:cantSplit/>
        </w:trPr>
        <w:tc>
          <w:tcPr>
            <w:tcW w:type="dxa" w:w="907"/>
            <w:vAlign w:val="center"/>
          </w:tcPr>
          <w:p>
            <w:pPr>
              <w:keepNext/>
              <w:spacing w:after="40" w:before="20" w:line="240" w:lineRule="auto"/>
              <w:ind w:firstLine="0"/>
            </w:pPr>
            <w:r>
              <w:rPr>
                <w:rFonts w:ascii="Times New Roman" w:hAnsi="Times New Roman"/>
                <w:sz w:val="16"/>
              </w:rPr>
              <w:t>Tracks</w:t>
            </w:r>
          </w:p>
        </w:tc>
        <w:tc>
          <w:tcPr>
            <w:tcW w:type="dxa" w:w="907"/>
            <w:vAlign w:val="center"/>
          </w:tcPr>
          <w:p>
            <w:pPr>
              <w:keepNext/>
              <w:spacing w:after="40" w:before="20" w:line="240" w:lineRule="auto"/>
              <w:ind w:firstLine="0"/>
            </w:pPr>
            <w:r>
              <w:rPr>
                <w:rFonts w:ascii="Times New Roman" w:hAnsi="Times New Roman"/>
                <w:sz w:val="16"/>
              </w:rPr>
              <w:t>WP</w:t>
            </w:r>
          </w:p>
        </w:tc>
        <w:tc>
          <w:tcPr>
            <w:tcW w:type="dxa" w:w="454"/>
            <w:vAlign w:val="center"/>
          </w:tcPr>
          <w:p>
            <w:pPr>
              <w:keepNext/>
              <w:spacing w:after="40" w:before="20" w:line="240" w:lineRule="auto"/>
              <w:ind w:firstLine="0"/>
            </w:pPr>
            <w:r>
              <w:rPr>
                <w:rFonts w:ascii="Times New Roman" w:hAnsi="Times New Roman"/>
                <w:sz w:val="16"/>
              </w:rPr>
              <w:t>5</w:t>
            </w:r>
          </w:p>
        </w:tc>
        <w:tc>
          <w:tcPr>
            <w:tcW w:type="dxa" w:w="1304"/>
            <w:vAlign w:val="center"/>
          </w:tcPr>
          <w:p>
            <w:pPr>
              <w:keepNext/>
              <w:spacing w:after="40" w:before="20" w:line="240" w:lineRule="auto"/>
              <w:ind w:firstLine="0"/>
            </w:pPr>
            <w:r>
              <w:rPr>
                <w:rFonts w:ascii="Times New Roman" w:hAnsi="Times New Roman"/>
                <w:sz w:val="16"/>
              </w:rPr>
              <w:t>66.09</w:t>
            </w:r>
          </w:p>
        </w:tc>
        <w:tc>
          <w:tcPr>
            <w:tcW w:type="dxa" w:w="1304"/>
            <w:vAlign w:val="center"/>
          </w:tcPr>
          <w:p>
            <w:pPr>
              <w:keepNext/>
              <w:spacing w:after="40" w:before="20" w:line="240" w:lineRule="auto"/>
              <w:ind w:firstLine="0"/>
            </w:pPr>
            <w:r>
              <w:rPr>
                <w:rFonts w:ascii="Times New Roman" w:hAnsi="Times New Roman"/>
                <w:sz w:val="16"/>
              </w:rPr>
              <w:t>6.77</w:t>
            </w:r>
          </w:p>
        </w:tc>
      </w:tr>
      <w:tr>
        <w:trPr>
          <w:cantSplit/>
        </w:trPr>
        <w:tc>
          <w:tcPr>
            <w:tcW w:type="dxa" w:w="907"/>
            <w:vAlign w:val="center"/>
          </w:tcPr>
          <w:p>
            <w:pPr>
              <w:spacing w:after="40" w:before="20" w:line="240" w:lineRule="auto"/>
              <w:ind w:firstLine="0"/>
            </w:pPr>
            <w:r>
              <w:rPr>
                <w:rFonts w:ascii="Times New Roman" w:hAnsi="Times New Roman"/>
                <w:sz w:val="16"/>
              </w:rPr>
              <w:t>Tracks</w:t>
            </w:r>
          </w:p>
        </w:tc>
        <w:tc>
          <w:tcPr>
            <w:tcW w:type="dxa" w:w="907"/>
            <w:vAlign w:val="center"/>
          </w:tcPr>
          <w:p>
            <w:pPr>
              <w:spacing w:after="40" w:before="20" w:line="240" w:lineRule="auto"/>
              <w:ind w:firstLine="0"/>
            </w:pPr>
            <w:r>
              <w:rPr>
                <w:rFonts w:ascii="Times New Roman" w:hAnsi="Times New Roman"/>
                <w:sz w:val="16"/>
              </w:rPr>
              <w:t>WP</w:t>
            </w:r>
          </w:p>
        </w:tc>
        <w:tc>
          <w:tcPr>
            <w:tcW w:type="dxa" w:w="454"/>
            <w:vAlign w:val="center"/>
          </w:tcPr>
          <w:p>
            <w:pPr>
              <w:spacing w:after="40" w:before="20" w:line="240" w:lineRule="auto"/>
              <w:ind w:firstLine="0"/>
            </w:pPr>
            <w:r>
              <w:rPr>
                <w:rFonts w:ascii="Times New Roman" w:hAnsi="Times New Roman"/>
                <w:sz w:val="16"/>
              </w:rPr>
              <w:t>10</w:t>
            </w:r>
          </w:p>
        </w:tc>
        <w:tc>
          <w:tcPr>
            <w:tcW w:type="dxa" w:w="1304"/>
            <w:vAlign w:val="center"/>
          </w:tcPr>
          <w:p>
            <w:pPr>
              <w:spacing w:after="40" w:before="20" w:line="240" w:lineRule="auto"/>
              <w:ind w:firstLine="0"/>
            </w:pPr>
            <w:r>
              <w:rPr>
                <w:rFonts w:ascii="Times New Roman" w:hAnsi="Times New Roman"/>
                <w:sz w:val="16"/>
              </w:rPr>
              <w:t>70.55</w:t>
            </w:r>
          </w:p>
        </w:tc>
        <w:tc>
          <w:tcPr>
            <w:tcW w:type="dxa" w:w="1304"/>
            <w:vAlign w:val="center"/>
          </w:tcPr>
          <w:p>
            <w:pPr>
              <w:spacing w:after="40" w:before="20" w:line="240" w:lineRule="auto"/>
              <w:ind w:firstLine="0"/>
            </w:pPr>
            <w:r>
              <w:rPr>
                <w:rFonts w:ascii="Times New Roman" w:hAnsi="Times New Roman"/>
                <w:sz w:val="16"/>
              </w:rPr>
              <w:t>11.23</w:t>
            </w:r>
          </w:p>
        </w:tc>
      </w:tr>
    </w:tbl>
    <w:p>
      <w:pPr>
        <w:spacing w:after="0"/>
      </w:pPr>
    </w:p>
    <w:p>
      <w:pPr>
        <w:jc w:val="both"/>
      </w:pPr>
      <w:r>
        <w:t>With WorldPop and main roads, three, five and ten additional centres increase coverage to 62.59%, 64.68% and 69.17%, equivalent to marginal gains of 3.52, 5.61 and 10.09 percentage points. Five centres add 2.43 million modelled inhabitants to coverage; they do not create that population or predict migration. Including tracks raises the five-centre marginal gain to 6.77 points. Population-product and graph changes affect the attainable benefit, so one solution cannot be presented as a unique territorial optimum.</w:t>
      </w:r>
    </w:p>
    <w:p>
      <w:pPr>
        <w:keepNext/>
        <w:ind w:firstLine="0"/>
        <w:jc w:val="center"/>
      </w:pPr>
      <w:r>
        <w:rPr>
          <w:sz w:val="16"/>
        </w:rPr>
        <w:t>TABLE XX</w:t>
        <w:br/>
        <w:t>FIVE NEW CENTRES ACROSS CANDIDATE GRIDS</w:t>
      </w:r>
    </w:p>
    <w:tbl>
      <w:tblPr>
        <w:tblW w:type="dxa" w:w="4876"/>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020"/>
        <w:gridCol w:w="1020"/>
        <w:gridCol w:w="1417"/>
        <w:gridCol w:w="1417"/>
      </w:tblGrid>
      <w:tr>
        <w:trPr>
          <w:cantSplit/>
          <w:tblHeader/>
        </w:trPr>
        <w:tc>
          <w:tcPr>
            <w:tcW w:type="dxa" w:w="1020"/>
            <w:vAlign w:val="center"/>
          </w:tcPr>
          <w:p>
            <w:pPr>
              <w:keepNext/>
              <w:spacing w:after="40" w:before="20" w:line="240" w:lineRule="auto"/>
              <w:ind w:firstLine="0"/>
            </w:pPr>
            <w:r>
              <w:rPr>
                <w:rFonts w:ascii="Times New Roman" w:hAnsi="Times New Roman"/>
                <w:b/>
                <w:sz w:val="16"/>
              </w:rPr>
              <w:t>Road set</w:t>
            </w:r>
          </w:p>
        </w:tc>
        <w:tc>
          <w:tcPr>
            <w:tcW w:type="dxa" w:w="1020"/>
            <w:vAlign w:val="center"/>
          </w:tcPr>
          <w:p>
            <w:pPr>
              <w:keepNext/>
              <w:spacing w:after="40" w:before="20" w:line="240" w:lineRule="auto"/>
              <w:ind w:firstLine="0"/>
            </w:pPr>
            <w:r>
              <w:rPr>
                <w:rFonts w:ascii="Times New Roman" w:hAnsi="Times New Roman"/>
                <w:b/>
                <w:sz w:val="16"/>
              </w:rPr>
              <w:t>Product</w:t>
            </w:r>
          </w:p>
        </w:tc>
        <w:tc>
          <w:tcPr>
            <w:tcW w:type="dxa" w:w="1417"/>
            <w:vAlign w:val="center"/>
          </w:tcPr>
          <w:p>
            <w:pPr>
              <w:keepNext/>
              <w:spacing w:after="40" w:before="20" w:line="240" w:lineRule="auto"/>
              <w:ind w:firstLine="0"/>
            </w:pPr>
            <w:r>
              <w:rPr>
                <w:rFonts w:ascii="Times New Roman" w:hAnsi="Times New Roman"/>
                <w:b/>
                <w:sz w:val="16"/>
              </w:rPr>
              <w:t>25 km %</w:t>
            </w:r>
          </w:p>
        </w:tc>
        <w:tc>
          <w:tcPr>
            <w:tcW w:type="dxa" w:w="1417"/>
            <w:vAlign w:val="center"/>
          </w:tcPr>
          <w:p>
            <w:pPr>
              <w:keepNext/>
              <w:spacing w:after="40" w:before="20" w:line="240" w:lineRule="auto"/>
              <w:ind w:firstLine="0"/>
            </w:pPr>
            <w:r>
              <w:rPr>
                <w:rFonts w:ascii="Times New Roman" w:hAnsi="Times New Roman"/>
                <w:b/>
                <w:sz w:val="16"/>
              </w:rPr>
              <w:t>10 km %</w:t>
            </w:r>
          </w:p>
        </w:tc>
      </w:tr>
      <w:tr>
        <w:trPr>
          <w:cantSplit/>
        </w:trPr>
        <w:tc>
          <w:tcPr>
            <w:tcW w:type="dxa" w:w="1020"/>
            <w:vAlign w:val="center"/>
          </w:tcPr>
          <w:p>
            <w:pPr>
              <w:keepNext/>
              <w:spacing w:after="40" w:before="20" w:line="240" w:lineRule="auto"/>
              <w:ind w:firstLine="0"/>
            </w:pPr>
            <w:r>
              <w:rPr>
                <w:rFonts w:ascii="Times New Roman" w:hAnsi="Times New Roman"/>
                <w:sz w:val="16"/>
              </w:rPr>
              <w:t>Main</w:t>
            </w:r>
          </w:p>
        </w:tc>
        <w:tc>
          <w:tcPr>
            <w:tcW w:type="dxa" w:w="1020"/>
            <w:vAlign w:val="center"/>
          </w:tcPr>
          <w:p>
            <w:pPr>
              <w:keepNext/>
              <w:spacing w:after="40" w:before="20" w:line="240" w:lineRule="auto"/>
              <w:ind w:firstLine="0"/>
            </w:pPr>
            <w:r>
              <w:rPr>
                <w:rFonts w:ascii="Times New Roman" w:hAnsi="Times New Roman"/>
                <w:sz w:val="16"/>
              </w:rPr>
              <w:t>WP</w:t>
            </w:r>
          </w:p>
        </w:tc>
        <w:tc>
          <w:tcPr>
            <w:tcW w:type="dxa" w:w="1417"/>
            <w:vAlign w:val="center"/>
          </w:tcPr>
          <w:p>
            <w:pPr>
              <w:keepNext/>
              <w:spacing w:after="40" w:before="20" w:line="240" w:lineRule="auto"/>
              <w:ind w:firstLine="0"/>
            </w:pPr>
            <w:r>
              <w:rPr>
                <w:rFonts w:ascii="Times New Roman" w:hAnsi="Times New Roman"/>
                <w:sz w:val="16"/>
              </w:rPr>
              <w:t>64.68</w:t>
            </w:r>
          </w:p>
        </w:tc>
        <w:tc>
          <w:tcPr>
            <w:tcW w:type="dxa" w:w="1417"/>
            <w:vAlign w:val="center"/>
          </w:tcPr>
          <w:p>
            <w:pPr>
              <w:keepNext/>
              <w:spacing w:after="40" w:before="20" w:line="240" w:lineRule="auto"/>
              <w:ind w:firstLine="0"/>
            </w:pPr>
            <w:r>
              <w:rPr>
                <w:rFonts w:ascii="Times New Roman" w:hAnsi="Times New Roman"/>
                <w:sz w:val="16"/>
              </w:rPr>
              <w:t>65.57</w:t>
            </w:r>
          </w:p>
        </w:tc>
      </w:tr>
      <w:tr>
        <w:trPr>
          <w:cantSplit/>
        </w:trPr>
        <w:tc>
          <w:tcPr>
            <w:tcW w:type="dxa" w:w="1020"/>
            <w:vAlign w:val="center"/>
          </w:tcPr>
          <w:p>
            <w:pPr>
              <w:keepNext/>
              <w:spacing w:after="40" w:before="20" w:line="240" w:lineRule="auto"/>
              <w:ind w:firstLine="0"/>
            </w:pPr>
            <w:r>
              <w:rPr>
                <w:rFonts w:ascii="Times New Roman" w:hAnsi="Times New Roman"/>
                <w:sz w:val="16"/>
              </w:rPr>
              <w:t>Main</w:t>
            </w:r>
          </w:p>
        </w:tc>
        <w:tc>
          <w:tcPr>
            <w:tcW w:type="dxa" w:w="1020"/>
            <w:vAlign w:val="center"/>
          </w:tcPr>
          <w:p>
            <w:pPr>
              <w:keepNext/>
              <w:spacing w:after="40" w:before="20" w:line="240" w:lineRule="auto"/>
              <w:ind w:firstLine="0"/>
            </w:pPr>
            <w:r>
              <w:rPr>
                <w:rFonts w:ascii="Times New Roman" w:hAnsi="Times New Roman"/>
                <w:sz w:val="16"/>
              </w:rPr>
              <w:t>GHS</w:t>
            </w:r>
          </w:p>
        </w:tc>
        <w:tc>
          <w:tcPr>
            <w:tcW w:type="dxa" w:w="1417"/>
            <w:vAlign w:val="center"/>
          </w:tcPr>
          <w:p>
            <w:pPr>
              <w:keepNext/>
              <w:spacing w:after="40" w:before="20" w:line="240" w:lineRule="auto"/>
              <w:ind w:firstLine="0"/>
            </w:pPr>
            <w:r>
              <w:rPr>
                <w:rFonts w:ascii="Times New Roman" w:hAnsi="Times New Roman"/>
                <w:sz w:val="16"/>
              </w:rPr>
              <w:t>72.50</w:t>
            </w:r>
          </w:p>
        </w:tc>
        <w:tc>
          <w:tcPr>
            <w:tcW w:type="dxa" w:w="1417"/>
            <w:vAlign w:val="center"/>
          </w:tcPr>
          <w:p>
            <w:pPr>
              <w:keepNext/>
              <w:spacing w:after="40" w:before="20" w:line="240" w:lineRule="auto"/>
              <w:ind w:firstLine="0"/>
            </w:pPr>
            <w:r>
              <w:rPr>
                <w:rFonts w:ascii="Times New Roman" w:hAnsi="Times New Roman"/>
                <w:sz w:val="16"/>
              </w:rPr>
              <w:t>73.38</w:t>
            </w:r>
          </w:p>
        </w:tc>
      </w:tr>
      <w:tr>
        <w:trPr>
          <w:cantSplit/>
        </w:trPr>
        <w:tc>
          <w:tcPr>
            <w:tcW w:type="dxa" w:w="1020"/>
            <w:vAlign w:val="center"/>
          </w:tcPr>
          <w:p>
            <w:pPr>
              <w:keepNext/>
              <w:spacing w:after="40" w:before="20" w:line="240" w:lineRule="auto"/>
              <w:ind w:firstLine="0"/>
            </w:pPr>
            <w:r>
              <w:rPr>
                <w:rFonts w:ascii="Times New Roman" w:hAnsi="Times New Roman"/>
                <w:sz w:val="16"/>
              </w:rPr>
              <w:t>Tracks</w:t>
            </w:r>
          </w:p>
        </w:tc>
        <w:tc>
          <w:tcPr>
            <w:tcW w:type="dxa" w:w="1020"/>
            <w:vAlign w:val="center"/>
          </w:tcPr>
          <w:p>
            <w:pPr>
              <w:keepNext/>
              <w:spacing w:after="40" w:before="20" w:line="240" w:lineRule="auto"/>
              <w:ind w:firstLine="0"/>
            </w:pPr>
            <w:r>
              <w:rPr>
                <w:rFonts w:ascii="Times New Roman" w:hAnsi="Times New Roman"/>
                <w:sz w:val="16"/>
              </w:rPr>
              <w:t>WP</w:t>
            </w:r>
          </w:p>
        </w:tc>
        <w:tc>
          <w:tcPr>
            <w:tcW w:type="dxa" w:w="1417"/>
            <w:vAlign w:val="center"/>
          </w:tcPr>
          <w:p>
            <w:pPr>
              <w:keepNext/>
              <w:spacing w:after="40" w:before="20" w:line="240" w:lineRule="auto"/>
              <w:ind w:firstLine="0"/>
            </w:pPr>
            <w:r>
              <w:rPr>
                <w:rFonts w:ascii="Times New Roman" w:hAnsi="Times New Roman"/>
                <w:sz w:val="16"/>
              </w:rPr>
              <w:t>66.09</w:t>
            </w:r>
          </w:p>
        </w:tc>
        <w:tc>
          <w:tcPr>
            <w:tcW w:type="dxa" w:w="1417"/>
            <w:vAlign w:val="center"/>
          </w:tcPr>
          <w:p>
            <w:pPr>
              <w:keepNext/>
              <w:spacing w:after="40" w:before="20" w:line="240" w:lineRule="auto"/>
              <w:ind w:firstLine="0"/>
            </w:pPr>
            <w:r>
              <w:rPr>
                <w:rFonts w:ascii="Times New Roman" w:hAnsi="Times New Roman"/>
                <w:sz w:val="16"/>
              </w:rPr>
              <w:t>66.63</w:t>
            </w:r>
          </w:p>
        </w:tc>
      </w:tr>
      <w:tr>
        <w:trPr>
          <w:cantSplit/>
        </w:trPr>
        <w:tc>
          <w:tcPr>
            <w:tcW w:type="dxa" w:w="1020"/>
            <w:vAlign w:val="center"/>
          </w:tcPr>
          <w:p>
            <w:pPr>
              <w:spacing w:after="40" w:before="20" w:line="240" w:lineRule="auto"/>
              <w:ind w:firstLine="0"/>
            </w:pPr>
            <w:r>
              <w:rPr>
                <w:rFonts w:ascii="Times New Roman" w:hAnsi="Times New Roman"/>
                <w:sz w:val="16"/>
              </w:rPr>
              <w:t>Tracks</w:t>
            </w:r>
          </w:p>
        </w:tc>
        <w:tc>
          <w:tcPr>
            <w:tcW w:type="dxa" w:w="1020"/>
            <w:vAlign w:val="center"/>
          </w:tcPr>
          <w:p>
            <w:pPr>
              <w:spacing w:after="40" w:before="20" w:line="240" w:lineRule="auto"/>
              <w:ind w:firstLine="0"/>
            </w:pPr>
            <w:r>
              <w:rPr>
                <w:rFonts w:ascii="Times New Roman" w:hAnsi="Times New Roman"/>
                <w:sz w:val="16"/>
              </w:rPr>
              <w:t>GHS</w:t>
            </w:r>
          </w:p>
        </w:tc>
        <w:tc>
          <w:tcPr>
            <w:tcW w:type="dxa" w:w="1417"/>
            <w:vAlign w:val="center"/>
          </w:tcPr>
          <w:p>
            <w:pPr>
              <w:spacing w:after="40" w:before="20" w:line="240" w:lineRule="auto"/>
              <w:ind w:firstLine="0"/>
            </w:pPr>
            <w:r>
              <w:rPr>
                <w:rFonts w:ascii="Times New Roman" w:hAnsi="Times New Roman"/>
                <w:sz w:val="16"/>
              </w:rPr>
              <w:t>73.02</w:t>
            </w:r>
          </w:p>
        </w:tc>
        <w:tc>
          <w:tcPr>
            <w:tcW w:type="dxa" w:w="1417"/>
            <w:vAlign w:val="center"/>
          </w:tcPr>
          <w:p>
            <w:pPr>
              <w:spacing w:after="40" w:before="20" w:line="240" w:lineRule="auto"/>
              <w:ind w:firstLine="0"/>
            </w:pPr>
            <w:r>
              <w:rPr>
                <w:rFonts w:ascii="Times New Roman" w:hAnsi="Times New Roman"/>
                <w:sz w:val="16"/>
              </w:rPr>
              <w:t>73.90</w:t>
            </w:r>
          </w:p>
        </w:tc>
      </w:tr>
    </w:tbl>
    <w:p>
      <w:pPr>
        <w:spacing w:after="0"/>
      </w:pPr>
    </w:p>
    <w:p>
      <w:pPr>
        <w:jc w:val="both"/>
      </w:pPr>
      <w:r>
        <w:t>On the 10-km candidate grid, five centres reach 65.57% WorldPop main-road coverage, a gain of 6.49 points or 2.81 million modelled inhabitants beyond the fixed baseline. Its gain is 0.88 point above the coarse-grid gain. The corresponding GHS-POP gain rises from 4.46 to 5.34 points. With tracks, finer-grid gains are 7.32 points for WorldPop and 5.67 for GHS-POP. These grids are not nested candidate subsets, so monotonicity is not guaranteed generally; the observed improvement is specific to these runs. The 25-km strict screen omits Équateur, and point-level land cover does not establish the suitability of an entire grid cell.</w:t>
      </w:r>
    </w:p>
    <w:p>
      <w:pPr>
        <w:keepNext/>
        <w:ind w:firstLine="0"/>
        <w:jc w:val="center"/>
      </w:pPr>
      <w:r>
        <w:drawing>
          <wp:inline xmlns:a="http://schemas.openxmlformats.org/drawingml/2006/main" xmlns:pic="http://schemas.openxmlformats.org/drawingml/2006/picture">
            <wp:extent cx="3072384" cy="3474720"/>
            <wp:docPr id="6" name="Picture 6"/>
            <wp:cNvGraphicFramePr>
              <a:graphicFrameLocks noChangeAspect="1"/>
            </wp:cNvGraphicFramePr>
            <a:graphic>
              <a:graphicData uri="http://schemas.openxmlformats.org/drawingml/2006/picture">
                <pic:pic>
                  <pic:nvPicPr>
                    <pic:cNvPr id="0" name="new_hub_grid_map.png"/>
                    <pic:cNvPicPr/>
                  </pic:nvPicPr>
                  <pic:blipFill>
                    <a:blip r:embed="rId16"/>
                    <a:stretch>
                      <a:fillRect/>
                    </a:stretch>
                  </pic:blipFill>
                  <pic:spPr>
                    <a:xfrm>
                      <a:off x="0" y="0"/>
                      <a:ext cx="3072384" cy="3474720"/>
                    </a:xfrm>
                    <a:prstGeom prst="rect"/>
                  </pic:spPr>
                </pic:pic>
              </a:graphicData>
            </a:graphic>
          </wp:inline>
        </w:drawing>
      </w:r>
    </w:p>
    <w:p>
      <w:pPr>
        <w:ind w:firstLine="0"/>
        <w:jc w:val="both"/>
      </w:pPr>
      <w:r>
        <w:rPr>
          <w:sz w:val="16"/>
        </w:rPr>
        <w:t>Fig. 6. One optimal five-new-centre set for WorldPop and main roads on each candidate grid, with all 26 existing hubs fixed. N1–N5 refer to Table XXI. Coordinates locate sampled sectors, not construction parcels. Boundary: geoBoundaries; optimization inputs: OSM, WorldPop, WorldCover and protected-area screening.</w:t>
      </w:r>
    </w:p>
    <w:p>
      <w:pPr>
        <w:keepNext/>
        <w:ind w:firstLine="0"/>
        <w:jc w:val="center"/>
      </w:pPr>
      <w:r>
        <w:rPr>
          <w:sz w:val="16"/>
        </w:rPr>
        <w:t>TABLE XXI</w:t>
        <w:br/>
        <w:t>ONE OPTIMAL FIVE CENTRE SET ON THE 10 KM GRID</w:t>
      </w:r>
    </w:p>
    <w:tbl>
      <w:tblPr>
        <w:tblW w:type="dxa" w:w="4876"/>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510"/>
        <w:gridCol w:w="1417"/>
        <w:gridCol w:w="964"/>
        <w:gridCol w:w="964"/>
        <w:gridCol w:w="1020"/>
      </w:tblGrid>
      <w:tr>
        <w:trPr>
          <w:cantSplit/>
          <w:tblHeader/>
        </w:trPr>
        <w:tc>
          <w:tcPr>
            <w:tcW w:type="dxa" w:w="510"/>
            <w:vAlign w:val="center"/>
          </w:tcPr>
          <w:p>
            <w:pPr>
              <w:keepNext/>
              <w:spacing w:after="40" w:before="20" w:line="240" w:lineRule="auto"/>
              <w:ind w:firstLine="0"/>
            </w:pPr>
            <w:r>
              <w:rPr>
                <w:rFonts w:ascii="Times New Roman" w:hAnsi="Times New Roman"/>
                <w:b/>
                <w:sz w:val="16"/>
              </w:rPr>
              <w:t>Site</w:t>
            </w:r>
          </w:p>
        </w:tc>
        <w:tc>
          <w:tcPr>
            <w:tcW w:type="dxa" w:w="1417"/>
            <w:vAlign w:val="center"/>
          </w:tcPr>
          <w:p>
            <w:pPr>
              <w:keepNext/>
              <w:spacing w:after="40" w:before="20" w:line="240" w:lineRule="auto"/>
              <w:ind w:firstLine="0"/>
            </w:pPr>
            <w:r>
              <w:rPr>
                <w:rFonts w:ascii="Times New Roman" w:hAnsi="Times New Roman"/>
                <w:b/>
                <w:sz w:val="16"/>
              </w:rPr>
              <w:t>Province</w:t>
            </w:r>
          </w:p>
        </w:tc>
        <w:tc>
          <w:tcPr>
            <w:tcW w:type="dxa" w:w="964"/>
            <w:vAlign w:val="center"/>
          </w:tcPr>
          <w:p>
            <w:pPr>
              <w:keepNext/>
              <w:spacing w:after="40" w:before="20" w:line="240" w:lineRule="auto"/>
              <w:ind w:firstLine="0"/>
            </w:pPr>
            <w:r>
              <w:rPr>
                <w:rFonts w:ascii="Times New Roman" w:hAnsi="Times New Roman"/>
                <w:b/>
                <w:sz w:val="16"/>
              </w:rPr>
              <w:t>Lon °</w:t>
            </w:r>
          </w:p>
        </w:tc>
        <w:tc>
          <w:tcPr>
            <w:tcW w:type="dxa" w:w="964"/>
            <w:vAlign w:val="center"/>
          </w:tcPr>
          <w:p>
            <w:pPr>
              <w:keepNext/>
              <w:spacing w:after="40" w:before="20" w:line="240" w:lineRule="auto"/>
              <w:ind w:firstLine="0"/>
            </w:pPr>
            <w:r>
              <w:rPr>
                <w:rFonts w:ascii="Times New Roman" w:hAnsi="Times New Roman"/>
                <w:b/>
                <w:sz w:val="16"/>
              </w:rPr>
              <w:t>Lat °</w:t>
            </w:r>
          </w:p>
        </w:tc>
        <w:tc>
          <w:tcPr>
            <w:tcW w:type="dxa" w:w="1020"/>
            <w:vAlign w:val="center"/>
          </w:tcPr>
          <w:p>
            <w:pPr>
              <w:keepNext/>
              <w:spacing w:after="40" w:before="20" w:line="240" w:lineRule="auto"/>
              <w:ind w:firstLine="0"/>
            </w:pPr>
            <w:r>
              <w:rPr>
                <w:rFonts w:ascii="Times New Roman" w:hAnsi="Times New Roman"/>
                <w:b/>
                <w:sz w:val="16"/>
              </w:rPr>
              <w:t>Water km</w:t>
            </w:r>
          </w:p>
        </w:tc>
      </w:tr>
      <w:tr>
        <w:trPr>
          <w:cantSplit/>
        </w:trPr>
        <w:tc>
          <w:tcPr>
            <w:tcW w:type="dxa" w:w="510"/>
            <w:vAlign w:val="center"/>
          </w:tcPr>
          <w:p>
            <w:pPr>
              <w:keepNext/>
              <w:spacing w:after="40" w:before="20" w:line="240" w:lineRule="auto"/>
              <w:ind w:firstLine="0"/>
            </w:pPr>
            <w:r>
              <w:rPr>
                <w:rFonts w:ascii="Times New Roman" w:hAnsi="Times New Roman"/>
                <w:sz w:val="16"/>
              </w:rPr>
              <w:t>N1</w:t>
            </w:r>
          </w:p>
        </w:tc>
        <w:tc>
          <w:tcPr>
            <w:tcW w:type="dxa" w:w="1417"/>
            <w:vAlign w:val="center"/>
          </w:tcPr>
          <w:p>
            <w:pPr>
              <w:keepNext/>
              <w:spacing w:after="40" w:before="20" w:line="240" w:lineRule="auto"/>
              <w:ind w:firstLine="0"/>
            </w:pPr>
            <w:r>
              <w:rPr>
                <w:rFonts w:ascii="Times New Roman" w:hAnsi="Times New Roman"/>
                <w:sz w:val="16"/>
              </w:rPr>
              <w:t>Kwilu</w:t>
            </w:r>
          </w:p>
        </w:tc>
        <w:tc>
          <w:tcPr>
            <w:tcW w:type="dxa" w:w="964"/>
            <w:vAlign w:val="center"/>
          </w:tcPr>
          <w:p>
            <w:pPr>
              <w:keepNext/>
              <w:spacing w:after="40" w:before="20" w:line="240" w:lineRule="auto"/>
              <w:ind w:firstLine="0"/>
            </w:pPr>
            <w:r>
              <w:rPr>
                <w:rFonts w:ascii="Times New Roman" w:hAnsi="Times New Roman"/>
                <w:sz w:val="16"/>
              </w:rPr>
              <w:t>17.982</w:t>
            </w:r>
          </w:p>
        </w:tc>
        <w:tc>
          <w:tcPr>
            <w:tcW w:type="dxa" w:w="964"/>
            <w:vAlign w:val="center"/>
          </w:tcPr>
          <w:p>
            <w:pPr>
              <w:keepNext/>
              <w:spacing w:after="40" w:before="20" w:line="240" w:lineRule="auto"/>
              <w:ind w:firstLine="0"/>
            </w:pPr>
            <w:r>
              <w:rPr>
                <w:rFonts w:ascii="Times New Roman" w:hAnsi="Times New Roman"/>
                <w:sz w:val="16"/>
              </w:rPr>
              <w:t>-5.377</w:t>
            </w:r>
          </w:p>
        </w:tc>
        <w:tc>
          <w:tcPr>
            <w:tcW w:type="dxa" w:w="1020"/>
            <w:vAlign w:val="center"/>
          </w:tcPr>
          <w:p>
            <w:pPr>
              <w:keepNext/>
              <w:spacing w:after="40" w:before="20" w:line="240" w:lineRule="auto"/>
              <w:ind w:firstLine="0"/>
            </w:pPr>
            <w:r>
              <w:rPr>
                <w:rFonts w:ascii="Times New Roman" w:hAnsi="Times New Roman"/>
                <w:sz w:val="16"/>
              </w:rPr>
              <w:t>23.87</w:t>
            </w:r>
          </w:p>
        </w:tc>
      </w:tr>
      <w:tr>
        <w:trPr>
          <w:cantSplit/>
        </w:trPr>
        <w:tc>
          <w:tcPr>
            <w:tcW w:type="dxa" w:w="510"/>
            <w:vAlign w:val="center"/>
          </w:tcPr>
          <w:p>
            <w:pPr>
              <w:keepNext/>
              <w:spacing w:after="40" w:before="20" w:line="240" w:lineRule="auto"/>
              <w:ind w:firstLine="0"/>
            </w:pPr>
            <w:r>
              <w:rPr>
                <w:rFonts w:ascii="Times New Roman" w:hAnsi="Times New Roman"/>
                <w:sz w:val="16"/>
              </w:rPr>
              <w:t>N2</w:t>
            </w:r>
          </w:p>
        </w:tc>
        <w:tc>
          <w:tcPr>
            <w:tcW w:type="dxa" w:w="1417"/>
            <w:vAlign w:val="center"/>
          </w:tcPr>
          <w:p>
            <w:pPr>
              <w:keepNext/>
              <w:spacing w:after="40" w:before="20" w:line="240" w:lineRule="auto"/>
              <w:ind w:firstLine="0"/>
            </w:pPr>
            <w:r>
              <w:rPr>
                <w:rFonts w:ascii="Times New Roman" w:hAnsi="Times New Roman"/>
                <w:sz w:val="16"/>
              </w:rPr>
              <w:t>Kwilu</w:t>
            </w:r>
          </w:p>
        </w:tc>
        <w:tc>
          <w:tcPr>
            <w:tcW w:type="dxa" w:w="964"/>
            <w:vAlign w:val="center"/>
          </w:tcPr>
          <w:p>
            <w:pPr>
              <w:keepNext/>
              <w:spacing w:after="40" w:before="20" w:line="240" w:lineRule="auto"/>
              <w:ind w:firstLine="0"/>
            </w:pPr>
            <w:r>
              <w:rPr>
                <w:rFonts w:ascii="Times New Roman" w:hAnsi="Times New Roman"/>
                <w:sz w:val="16"/>
              </w:rPr>
              <w:t>18.604</w:t>
            </w:r>
          </w:p>
        </w:tc>
        <w:tc>
          <w:tcPr>
            <w:tcW w:type="dxa" w:w="964"/>
            <w:vAlign w:val="center"/>
          </w:tcPr>
          <w:p>
            <w:pPr>
              <w:keepNext/>
              <w:spacing w:after="40" w:before="20" w:line="240" w:lineRule="auto"/>
              <w:ind w:firstLine="0"/>
            </w:pPr>
            <w:r>
              <w:rPr>
                <w:rFonts w:ascii="Times New Roman" w:hAnsi="Times New Roman"/>
                <w:sz w:val="16"/>
              </w:rPr>
              <w:t>-4.119</w:t>
            </w:r>
          </w:p>
        </w:tc>
        <w:tc>
          <w:tcPr>
            <w:tcW w:type="dxa" w:w="1020"/>
            <w:vAlign w:val="center"/>
          </w:tcPr>
          <w:p>
            <w:pPr>
              <w:keepNext/>
              <w:spacing w:after="40" w:before="20" w:line="240" w:lineRule="auto"/>
              <w:ind w:firstLine="0"/>
            </w:pPr>
            <w:r>
              <w:rPr>
                <w:rFonts w:ascii="Times New Roman" w:hAnsi="Times New Roman"/>
                <w:sz w:val="16"/>
              </w:rPr>
              <w:t>24.49</w:t>
            </w:r>
          </w:p>
        </w:tc>
      </w:tr>
      <w:tr>
        <w:trPr>
          <w:cantSplit/>
        </w:trPr>
        <w:tc>
          <w:tcPr>
            <w:tcW w:type="dxa" w:w="510"/>
            <w:vAlign w:val="center"/>
          </w:tcPr>
          <w:p>
            <w:pPr>
              <w:keepNext/>
              <w:spacing w:after="40" w:before="20" w:line="240" w:lineRule="auto"/>
              <w:ind w:firstLine="0"/>
            </w:pPr>
            <w:r>
              <w:rPr>
                <w:rFonts w:ascii="Times New Roman" w:hAnsi="Times New Roman"/>
                <w:sz w:val="16"/>
              </w:rPr>
              <w:t>N3</w:t>
            </w:r>
          </w:p>
        </w:tc>
        <w:tc>
          <w:tcPr>
            <w:tcW w:type="dxa" w:w="1417"/>
            <w:vAlign w:val="center"/>
          </w:tcPr>
          <w:p>
            <w:pPr>
              <w:keepNext/>
              <w:spacing w:after="40" w:before="20" w:line="240" w:lineRule="auto"/>
              <w:ind w:firstLine="0"/>
            </w:pPr>
            <w:r>
              <w:rPr>
                <w:rFonts w:ascii="Times New Roman" w:hAnsi="Times New Roman"/>
                <w:sz w:val="16"/>
              </w:rPr>
              <w:t>Sud-Ubangi</w:t>
            </w:r>
          </w:p>
        </w:tc>
        <w:tc>
          <w:tcPr>
            <w:tcW w:type="dxa" w:w="964"/>
            <w:vAlign w:val="center"/>
          </w:tcPr>
          <w:p>
            <w:pPr>
              <w:keepNext/>
              <w:spacing w:after="40" w:before="20" w:line="240" w:lineRule="auto"/>
              <w:ind w:firstLine="0"/>
            </w:pPr>
            <w:r>
              <w:rPr>
                <w:rFonts w:ascii="Times New Roman" w:hAnsi="Times New Roman"/>
                <w:sz w:val="16"/>
              </w:rPr>
              <w:t>19.122</w:t>
            </w:r>
          </w:p>
        </w:tc>
        <w:tc>
          <w:tcPr>
            <w:tcW w:type="dxa" w:w="964"/>
            <w:vAlign w:val="center"/>
          </w:tcPr>
          <w:p>
            <w:pPr>
              <w:keepNext/>
              <w:spacing w:after="40" w:before="20" w:line="240" w:lineRule="auto"/>
              <w:ind w:firstLine="0"/>
            </w:pPr>
            <w:r>
              <w:rPr>
                <w:rFonts w:ascii="Times New Roman" w:hAnsi="Times New Roman"/>
                <w:sz w:val="16"/>
              </w:rPr>
              <w:t>2.627</w:t>
            </w:r>
          </w:p>
        </w:tc>
        <w:tc>
          <w:tcPr>
            <w:tcW w:type="dxa" w:w="1020"/>
            <w:vAlign w:val="center"/>
          </w:tcPr>
          <w:p>
            <w:pPr>
              <w:keepNext/>
              <w:spacing w:after="40" w:before="20" w:line="240" w:lineRule="auto"/>
              <w:ind w:firstLine="0"/>
            </w:pPr>
            <w:r>
              <w:rPr>
                <w:rFonts w:ascii="Times New Roman" w:hAnsi="Times New Roman"/>
                <w:sz w:val="16"/>
              </w:rPr>
              <w:t>9.19</w:t>
            </w:r>
          </w:p>
        </w:tc>
      </w:tr>
      <w:tr>
        <w:trPr>
          <w:cantSplit/>
        </w:trPr>
        <w:tc>
          <w:tcPr>
            <w:tcW w:type="dxa" w:w="510"/>
            <w:vAlign w:val="center"/>
          </w:tcPr>
          <w:p>
            <w:pPr>
              <w:keepNext/>
              <w:spacing w:after="40" w:before="20" w:line="240" w:lineRule="auto"/>
              <w:ind w:firstLine="0"/>
            </w:pPr>
            <w:r>
              <w:rPr>
                <w:rFonts w:ascii="Times New Roman" w:hAnsi="Times New Roman"/>
                <w:sz w:val="16"/>
              </w:rPr>
              <w:t>N4</w:t>
            </w:r>
          </w:p>
        </w:tc>
        <w:tc>
          <w:tcPr>
            <w:tcW w:type="dxa" w:w="1417"/>
            <w:vAlign w:val="center"/>
          </w:tcPr>
          <w:p>
            <w:pPr>
              <w:keepNext/>
              <w:spacing w:after="40" w:before="20" w:line="240" w:lineRule="auto"/>
              <w:ind w:firstLine="0"/>
            </w:pPr>
            <w:r>
              <w:rPr>
                <w:rFonts w:ascii="Times New Roman" w:hAnsi="Times New Roman"/>
                <w:sz w:val="16"/>
              </w:rPr>
              <w:t>Kwilu</w:t>
            </w:r>
          </w:p>
        </w:tc>
        <w:tc>
          <w:tcPr>
            <w:tcW w:type="dxa" w:w="964"/>
            <w:vAlign w:val="center"/>
          </w:tcPr>
          <w:p>
            <w:pPr>
              <w:keepNext/>
              <w:spacing w:after="40" w:before="20" w:line="240" w:lineRule="auto"/>
              <w:ind w:firstLine="0"/>
            </w:pPr>
            <w:r>
              <w:rPr>
                <w:rFonts w:ascii="Times New Roman" w:hAnsi="Times New Roman"/>
                <w:sz w:val="16"/>
              </w:rPr>
              <w:t>19.433</w:t>
            </w:r>
          </w:p>
        </w:tc>
        <w:tc>
          <w:tcPr>
            <w:tcW w:type="dxa" w:w="964"/>
            <w:vAlign w:val="center"/>
          </w:tcPr>
          <w:p>
            <w:pPr>
              <w:keepNext/>
              <w:spacing w:after="40" w:before="20" w:line="240" w:lineRule="auto"/>
              <w:ind w:firstLine="0"/>
            </w:pPr>
            <w:r>
              <w:rPr>
                <w:rFonts w:ascii="Times New Roman" w:hAnsi="Times New Roman"/>
                <w:sz w:val="16"/>
              </w:rPr>
              <w:t>-5.692</w:t>
            </w:r>
          </w:p>
        </w:tc>
        <w:tc>
          <w:tcPr>
            <w:tcW w:type="dxa" w:w="1020"/>
            <w:vAlign w:val="center"/>
          </w:tcPr>
          <w:p>
            <w:pPr>
              <w:keepNext/>
              <w:spacing w:after="40" w:before="20" w:line="240" w:lineRule="auto"/>
              <w:ind w:firstLine="0"/>
            </w:pPr>
            <w:r>
              <w:rPr>
                <w:rFonts w:ascii="Times New Roman" w:hAnsi="Times New Roman"/>
                <w:sz w:val="16"/>
              </w:rPr>
              <w:t>5.81</w:t>
            </w:r>
          </w:p>
        </w:tc>
      </w:tr>
      <w:tr>
        <w:trPr>
          <w:cantSplit/>
        </w:trPr>
        <w:tc>
          <w:tcPr>
            <w:tcW w:type="dxa" w:w="510"/>
            <w:vAlign w:val="center"/>
          </w:tcPr>
          <w:p>
            <w:pPr>
              <w:spacing w:after="40" w:before="20" w:line="240" w:lineRule="auto"/>
              <w:ind w:firstLine="0"/>
            </w:pPr>
            <w:r>
              <w:rPr>
                <w:rFonts w:ascii="Times New Roman" w:hAnsi="Times New Roman"/>
                <w:sz w:val="16"/>
              </w:rPr>
              <w:t>N5</w:t>
            </w:r>
          </w:p>
        </w:tc>
        <w:tc>
          <w:tcPr>
            <w:tcW w:type="dxa" w:w="1417"/>
            <w:vAlign w:val="center"/>
          </w:tcPr>
          <w:p>
            <w:pPr>
              <w:spacing w:after="40" w:before="20" w:line="240" w:lineRule="auto"/>
              <w:ind w:firstLine="0"/>
            </w:pPr>
            <w:r>
              <w:rPr>
                <w:rFonts w:ascii="Times New Roman" w:hAnsi="Times New Roman"/>
                <w:sz w:val="16"/>
              </w:rPr>
              <w:t>Mongala</w:t>
            </w:r>
          </w:p>
        </w:tc>
        <w:tc>
          <w:tcPr>
            <w:tcW w:type="dxa" w:w="964"/>
            <w:vAlign w:val="center"/>
          </w:tcPr>
          <w:p>
            <w:pPr>
              <w:spacing w:after="40" w:before="20" w:line="240" w:lineRule="auto"/>
              <w:ind w:firstLine="0"/>
            </w:pPr>
            <w:r>
              <w:rPr>
                <w:rFonts w:ascii="Times New Roman" w:hAnsi="Times New Roman"/>
                <w:sz w:val="16"/>
              </w:rPr>
              <w:t>21.402</w:t>
            </w:r>
          </w:p>
        </w:tc>
        <w:tc>
          <w:tcPr>
            <w:tcW w:type="dxa" w:w="964"/>
            <w:vAlign w:val="center"/>
          </w:tcPr>
          <w:p>
            <w:pPr>
              <w:spacing w:after="40" w:before="20" w:line="240" w:lineRule="auto"/>
              <w:ind w:firstLine="0"/>
            </w:pPr>
            <w:r>
              <w:rPr>
                <w:rFonts w:ascii="Times New Roman" w:hAnsi="Times New Roman"/>
                <w:sz w:val="16"/>
              </w:rPr>
              <w:t>2.862</w:t>
            </w:r>
          </w:p>
        </w:tc>
        <w:tc>
          <w:tcPr>
            <w:tcW w:type="dxa" w:w="1020"/>
            <w:vAlign w:val="center"/>
          </w:tcPr>
          <w:p>
            <w:pPr>
              <w:spacing w:after="40" w:before="20" w:line="240" w:lineRule="auto"/>
              <w:ind w:firstLine="0"/>
            </w:pPr>
            <w:r>
              <w:rPr>
                <w:rFonts w:ascii="Times New Roman" w:hAnsi="Times New Roman"/>
                <w:sz w:val="16"/>
              </w:rPr>
              <w:t>12.38</w:t>
            </w:r>
          </w:p>
        </w:tc>
      </w:tr>
    </w:tbl>
    <w:p>
      <w:pPr>
        <w:spacing w:after="0"/>
      </w:pPr>
    </w:p>
    <w:p>
      <w:pPr>
        <w:jc w:val="both"/>
      </w:pPr>
      <w:r>
        <w:t>The identifiers in the supplementary table retain exact input coordinates and grid indices. Changing grids changes selected sectors: the five-centre WorldPop main-road set spans Kwilu, Sud-Ubangi and Mongala on the 10-km grid, compared with Kwango, Kwilu, Sud-Ubangi and Nord-Ubangi on the 25-km grid. No province quota is imposed. This concentration reflects the marginal coverage objective and screened opportunities; it does not justify excluding other provinces from investment. Optimality is conditional on the candidate set and encoded distances, not on urban viability, public costs or provincial equity.</w:t>
      </w:r>
    </w:p>
    <w:p>
      <w:pPr>
        <w:pStyle w:val="Heading2"/>
        <w:ind w:firstLine="0"/>
        <w:jc w:val="both"/>
      </w:pPr>
      <w:r>
        <w:t>M. Resource Conditions and Functional Autonomy Interpretation</w:t>
      </w:r>
    </w:p>
    <w:p>
      <w:pPr>
        <w:jc w:val="both"/>
      </w:pPr>
      <w:r>
        <w:t>The optional mapped-water constraint reduces WorldPop five-centre coverage from 64.68% to 64.58% on the coarse main-road grid, and from 65.57% to 65.43% on the fine grid. The respective losses are 0.11 and 0.14 point, with different selected identities possible. For GHS-POP and main roads, the coarse loss is 0.03 point and the fine-grid optimal objective is unchanged. Across all matched road/product/grid comparisons the largest loss is 0.26 point. This quantifies an explicit coverage–resource-proximity trade-off; it neither proves water sufficiency nor ranks normative priorities.</w:t>
      </w:r>
    </w:p>
    <w:p>
      <w:pPr>
        <w:jc w:val="both"/>
      </w:pPr>
      <w:r>
        <w:t>N1 and N2 in the fine-grid unconstrained WorldPop example lie approximately 23.87 and 24.49 km from mapped water. Their access advantage therefore cannot be interpreted as water autonomy; an implementation dossier would need a source and supply design. N3–N5 are within 15 km, but still lack measured water quality, reliable energy, production, jobs and service capacity. None is labelled a proven sovereign city. Their role is to identify sectors where a new hub or settlement upgrade could serve otherwise uncovered modelled demand, and where functional investments could be investigated.</w:t>
      </w:r>
    </w:p>
    <w:p>
      <w:pPr>
        <w:jc w:val="both"/>
      </w:pPr>
      <w:r>
        <w:t>The new-centre module restores the planning question without reviving the old arbitrary preference ranking. Historical network orientation remains relevant context, while a causal colonial attribution is outside the executed design. Likewise, a coverage gain is not evidence that trade dependence on Kinshasa decreases. Productive and service functions, interprovincial exchanges and governance must be specified and observed before that conclusion. The principal validation gap remains household/service-access observations compatible with the same modes, dates and locations; exact solver gaps do not close it.</w:t>
      </w:r>
    </w:p>
    <w:p>
      <w:pPr>
        <w:pStyle w:val="Heading2"/>
        <w:ind w:firstLine="0"/>
        <w:jc w:val="both"/>
      </w:pPr>
      <w:r>
        <w:rPr/>
        <w:t>N. Energy Proximity and Economic Evidence Boundary</w:t>
      </w:r>
    </w:p>
    <w:p>
      <w:pPr>
        <w:jc w:val="both"/>
      </w:pPr>
      <w:r>
        <w:rPr/>
        <w:t>Table XXII adds historical high-voltage proximity for the fine-grid WorldPop five-centre example. N4 is approximately 8.1 km from mapped linework, N1 is 48.2 km away, and N2, N3 and N5 exceed 100 km. These distances identify energy-supply questions for site feasibility. They cannot establish energization, spare capacity, compatible voltage, reliability, connection rights or investment cost. Large distances in this layer do not establish absence of present mini-grids, local distribution or later projects.</w:t>
      </w:r>
    </w:p>
    <w:p>
      <w:pPr>
        <w:keepNext/>
        <w:spacing w:after="0"/>
        <w:ind w:firstLine="0"/>
        <w:jc w:val="center"/>
      </w:pPr>
      <w:r>
        <w:rPr>
          <w:rFonts w:ascii="Times New Roman" w:hAnsi="Times New Roman"/>
          <w:b w:val="0"/>
          <w:sz w:val="16"/>
        </w:rPr>
        <w:t>TABLE XXII</w:t>
        <w:br/>
        <w:t>HISTORICAL HIGH VOLTAGE PROXIMITY OF FIVE NEW CENTRES</w:t>
      </w:r>
    </w:p>
    <w:tbl>
      <w:tblPr>
        <w:tblW w:type="dxa" w:w="4876"/>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510"/>
        <w:gridCol w:w="1417"/>
        <w:gridCol w:w="964"/>
        <w:gridCol w:w="964"/>
        <w:gridCol w:w="1020"/>
      </w:tblGrid>
      <w:tr>
        <w:trPr>
          <w:cantSplit/>
          <w:tblHeader/>
        </w:trPr>
        <w:tc>
          <w:tcPr>
            <w:tcW w:type="dxa" w:w="510"/>
            <w:vAlign w:val="center"/>
          </w:tcPr>
          <w:p>
            <w:pPr>
              <w:spacing w:after="40"/>
              <w:ind w:firstLine="0" w:left="0" w:right="0"/>
              <w:jc w:val="left"/>
            </w:pPr>
            <w:r>
              <w:rPr>
                <w:rFonts w:ascii="Times New Roman" w:hAnsi="Times New Roman"/>
                <w:b/>
                <w:sz w:val="16"/>
              </w:rPr>
              <w:t>Site</w:t>
            </w:r>
          </w:p>
        </w:tc>
        <w:tc>
          <w:tcPr>
            <w:tcW w:type="dxa" w:w="1417"/>
            <w:vAlign w:val="center"/>
          </w:tcPr>
          <w:p>
            <w:pPr>
              <w:spacing w:after="40"/>
              <w:ind w:firstLine="0" w:left="0" w:right="0"/>
              <w:jc w:val="left"/>
            </w:pPr>
            <w:r>
              <w:rPr>
                <w:rFonts w:ascii="Times New Roman" w:hAnsi="Times New Roman"/>
                <w:b/>
                <w:sz w:val="16"/>
              </w:rPr>
              <w:t>Province</w:t>
            </w:r>
          </w:p>
        </w:tc>
        <w:tc>
          <w:tcPr>
            <w:tcW w:type="dxa" w:w="964"/>
            <w:vAlign w:val="center"/>
          </w:tcPr>
          <w:p>
            <w:pPr>
              <w:spacing w:after="40"/>
              <w:ind w:firstLine="0" w:left="0" w:right="0"/>
              <w:jc w:val="left"/>
            </w:pPr>
            <w:r>
              <w:rPr>
                <w:rFonts w:ascii="Times New Roman" w:hAnsi="Times New Roman"/>
                <w:b/>
                <w:sz w:val="16"/>
              </w:rPr>
              <w:t>Water km</w:t>
            </w:r>
          </w:p>
        </w:tc>
        <w:tc>
          <w:tcPr>
            <w:tcW w:type="dxa" w:w="964"/>
            <w:vAlign w:val="center"/>
          </w:tcPr>
          <w:p>
            <w:pPr>
              <w:spacing w:after="40"/>
              <w:ind w:firstLine="0" w:left="0" w:right="0"/>
              <w:jc w:val="left"/>
            </w:pPr>
            <w:r>
              <w:rPr>
                <w:rFonts w:ascii="Times New Roman" w:hAnsi="Times New Roman"/>
                <w:b/>
                <w:sz w:val="16"/>
              </w:rPr>
              <w:t>HT km</w:t>
            </w:r>
          </w:p>
        </w:tc>
        <w:tc>
          <w:tcPr>
            <w:tcW w:type="dxa" w:w="1020"/>
            <w:vAlign w:val="center"/>
          </w:tcPr>
          <w:p>
            <w:pPr>
              <w:spacing w:after="40"/>
              <w:ind w:firstLine="0" w:left="0" w:right="0"/>
              <w:jc w:val="left"/>
            </w:pPr>
            <w:r>
              <w:rPr>
                <w:rFonts w:ascii="Times New Roman" w:hAnsi="Times New Roman"/>
                <w:b/>
                <w:sz w:val="16"/>
              </w:rPr>
              <w:t>Layer title</w:t>
            </w:r>
          </w:p>
        </w:tc>
      </w:tr>
      <w:tr>
        <w:trPr>
          <w:cantSplit/>
        </w:trPr>
        <w:tc>
          <w:tcPr>
            <w:tcW w:type="dxa" w:w="510"/>
            <w:vAlign w:val="center"/>
          </w:tcPr>
          <w:p>
            <w:pPr>
              <w:spacing w:after="40"/>
              <w:ind w:firstLine="0" w:left="0" w:right="0"/>
              <w:jc w:val="left"/>
            </w:pPr>
            <w:r>
              <w:rPr>
                <w:rFonts w:ascii="Times New Roman" w:hAnsi="Times New Roman"/>
                <w:b w:val="0"/>
                <w:sz w:val="16"/>
              </w:rPr>
              <w:t>N1</w:t>
            </w:r>
          </w:p>
        </w:tc>
        <w:tc>
          <w:tcPr>
            <w:tcW w:type="dxa" w:w="1417"/>
            <w:vAlign w:val="center"/>
          </w:tcPr>
          <w:p>
            <w:pPr>
              <w:spacing w:after="40"/>
              <w:ind w:firstLine="0" w:left="0" w:right="0"/>
              <w:jc w:val="left"/>
            </w:pPr>
            <w:r>
              <w:rPr>
                <w:rFonts w:ascii="Times New Roman" w:hAnsi="Times New Roman"/>
                <w:b w:val="0"/>
                <w:sz w:val="16"/>
              </w:rPr>
              <w:t>Kwilu</w:t>
            </w:r>
          </w:p>
        </w:tc>
        <w:tc>
          <w:tcPr>
            <w:tcW w:type="dxa" w:w="964"/>
            <w:vAlign w:val="center"/>
          </w:tcPr>
          <w:p>
            <w:pPr>
              <w:spacing w:after="40"/>
              <w:ind w:firstLine="0" w:left="0" w:right="0"/>
              <w:jc w:val="left"/>
            </w:pPr>
            <w:r>
              <w:rPr>
                <w:rFonts w:ascii="Times New Roman" w:hAnsi="Times New Roman"/>
                <w:b w:val="0"/>
                <w:sz w:val="16"/>
              </w:rPr>
              <w:t>23.87</w:t>
            </w:r>
          </w:p>
        </w:tc>
        <w:tc>
          <w:tcPr>
            <w:tcW w:type="dxa" w:w="964"/>
            <w:vAlign w:val="center"/>
          </w:tcPr>
          <w:p>
            <w:pPr>
              <w:spacing w:after="40"/>
              <w:ind w:firstLine="0" w:left="0" w:right="0"/>
              <w:jc w:val="left"/>
            </w:pPr>
            <w:r>
              <w:rPr>
                <w:rFonts w:ascii="Times New Roman" w:hAnsi="Times New Roman"/>
                <w:b w:val="0"/>
                <w:sz w:val="16"/>
              </w:rPr>
              <w:t>48.2</w:t>
            </w:r>
          </w:p>
        </w:tc>
        <w:tc>
          <w:tcPr>
            <w:tcW w:type="dxa" w:w="1020"/>
            <w:vAlign w:val="center"/>
          </w:tcPr>
          <w:p>
            <w:pPr>
              <w:spacing w:after="40"/>
              <w:ind w:firstLine="0" w:left="0" w:right="0"/>
              <w:jc w:val="left"/>
            </w:pPr>
            <w:r>
              <w:rPr>
                <w:rFonts w:ascii="Times New Roman" w:hAnsi="Times New Roman"/>
                <w:b w:val="0"/>
                <w:sz w:val="16"/>
              </w:rPr>
              <w:t>2018</w:t>
            </w:r>
          </w:p>
        </w:tc>
      </w:tr>
      <w:tr>
        <w:trPr>
          <w:cantSplit/>
        </w:trPr>
        <w:tc>
          <w:tcPr>
            <w:tcW w:type="dxa" w:w="510"/>
            <w:vAlign w:val="center"/>
          </w:tcPr>
          <w:p>
            <w:pPr>
              <w:spacing w:after="40"/>
              <w:ind w:firstLine="0" w:left="0" w:right="0"/>
              <w:jc w:val="left"/>
            </w:pPr>
            <w:r>
              <w:rPr>
                <w:rFonts w:ascii="Times New Roman" w:hAnsi="Times New Roman"/>
                <w:b w:val="0"/>
                <w:sz w:val="16"/>
              </w:rPr>
              <w:t>N2</w:t>
            </w:r>
          </w:p>
        </w:tc>
        <w:tc>
          <w:tcPr>
            <w:tcW w:type="dxa" w:w="1417"/>
            <w:vAlign w:val="center"/>
          </w:tcPr>
          <w:p>
            <w:pPr>
              <w:spacing w:after="40"/>
              <w:ind w:firstLine="0" w:left="0" w:right="0"/>
              <w:jc w:val="left"/>
            </w:pPr>
            <w:r>
              <w:rPr>
                <w:rFonts w:ascii="Times New Roman" w:hAnsi="Times New Roman"/>
                <w:b w:val="0"/>
                <w:sz w:val="16"/>
              </w:rPr>
              <w:t>Kwilu</w:t>
            </w:r>
          </w:p>
        </w:tc>
        <w:tc>
          <w:tcPr>
            <w:tcW w:type="dxa" w:w="964"/>
            <w:vAlign w:val="center"/>
          </w:tcPr>
          <w:p>
            <w:pPr>
              <w:spacing w:after="40"/>
              <w:ind w:firstLine="0" w:left="0" w:right="0"/>
              <w:jc w:val="left"/>
            </w:pPr>
            <w:r>
              <w:rPr>
                <w:rFonts w:ascii="Times New Roman" w:hAnsi="Times New Roman"/>
                <w:b w:val="0"/>
                <w:sz w:val="16"/>
              </w:rPr>
              <w:t>24.49</w:t>
            </w:r>
          </w:p>
        </w:tc>
        <w:tc>
          <w:tcPr>
            <w:tcW w:type="dxa" w:w="964"/>
            <w:vAlign w:val="center"/>
          </w:tcPr>
          <w:p>
            <w:pPr>
              <w:spacing w:after="40"/>
              <w:ind w:firstLine="0" w:left="0" w:right="0"/>
              <w:jc w:val="left"/>
            </w:pPr>
            <w:r>
              <w:rPr>
                <w:rFonts w:ascii="Times New Roman" w:hAnsi="Times New Roman"/>
                <w:b w:val="0"/>
                <w:sz w:val="16"/>
              </w:rPr>
              <w:t>107.2</w:t>
            </w:r>
          </w:p>
        </w:tc>
        <w:tc>
          <w:tcPr>
            <w:tcW w:type="dxa" w:w="1020"/>
            <w:vAlign w:val="center"/>
          </w:tcPr>
          <w:p>
            <w:pPr>
              <w:spacing w:after="40"/>
              <w:ind w:firstLine="0" w:left="0" w:right="0"/>
              <w:jc w:val="left"/>
            </w:pPr>
            <w:r>
              <w:rPr>
                <w:rFonts w:ascii="Times New Roman" w:hAnsi="Times New Roman"/>
                <w:b w:val="0"/>
                <w:sz w:val="16"/>
              </w:rPr>
              <w:t>2018</w:t>
            </w:r>
          </w:p>
        </w:tc>
      </w:tr>
      <w:tr>
        <w:trPr>
          <w:cantSplit/>
        </w:trPr>
        <w:tc>
          <w:tcPr>
            <w:tcW w:type="dxa" w:w="510"/>
            <w:vAlign w:val="center"/>
          </w:tcPr>
          <w:p>
            <w:pPr>
              <w:spacing w:after="40"/>
              <w:ind w:firstLine="0" w:left="0" w:right="0"/>
              <w:jc w:val="left"/>
            </w:pPr>
            <w:r>
              <w:rPr>
                <w:rFonts w:ascii="Times New Roman" w:hAnsi="Times New Roman"/>
                <w:b w:val="0"/>
                <w:sz w:val="16"/>
              </w:rPr>
              <w:t>N3</w:t>
            </w:r>
          </w:p>
        </w:tc>
        <w:tc>
          <w:tcPr>
            <w:tcW w:type="dxa" w:w="1417"/>
            <w:vAlign w:val="center"/>
          </w:tcPr>
          <w:p>
            <w:pPr>
              <w:spacing w:after="40"/>
              <w:ind w:firstLine="0" w:left="0" w:right="0"/>
              <w:jc w:val="left"/>
            </w:pPr>
            <w:r>
              <w:rPr>
                <w:rFonts w:ascii="Times New Roman" w:hAnsi="Times New Roman"/>
                <w:b w:val="0"/>
                <w:sz w:val="16"/>
              </w:rPr>
              <w:t>Sud-Ubangi</w:t>
            </w:r>
          </w:p>
        </w:tc>
        <w:tc>
          <w:tcPr>
            <w:tcW w:type="dxa" w:w="964"/>
            <w:vAlign w:val="center"/>
          </w:tcPr>
          <w:p>
            <w:pPr>
              <w:spacing w:after="40"/>
              <w:ind w:firstLine="0" w:left="0" w:right="0"/>
              <w:jc w:val="left"/>
            </w:pPr>
            <w:r>
              <w:rPr>
                <w:rFonts w:ascii="Times New Roman" w:hAnsi="Times New Roman"/>
                <w:b w:val="0"/>
                <w:sz w:val="16"/>
              </w:rPr>
              <w:t>9.19</w:t>
            </w:r>
          </w:p>
        </w:tc>
        <w:tc>
          <w:tcPr>
            <w:tcW w:type="dxa" w:w="964"/>
            <w:vAlign w:val="center"/>
          </w:tcPr>
          <w:p>
            <w:pPr>
              <w:spacing w:after="40"/>
              <w:ind w:firstLine="0" w:left="0" w:right="0"/>
              <w:jc w:val="left"/>
            </w:pPr>
            <w:r>
              <w:rPr>
                <w:rFonts w:ascii="Times New Roman" w:hAnsi="Times New Roman"/>
                <w:b w:val="0"/>
                <w:sz w:val="16"/>
              </w:rPr>
              <w:t>278.8</w:t>
            </w:r>
          </w:p>
        </w:tc>
        <w:tc>
          <w:tcPr>
            <w:tcW w:type="dxa" w:w="1020"/>
            <w:vAlign w:val="center"/>
          </w:tcPr>
          <w:p>
            <w:pPr>
              <w:spacing w:after="40"/>
              <w:ind w:firstLine="0" w:left="0" w:right="0"/>
              <w:jc w:val="left"/>
            </w:pPr>
            <w:r>
              <w:rPr>
                <w:rFonts w:ascii="Times New Roman" w:hAnsi="Times New Roman"/>
                <w:b w:val="0"/>
                <w:sz w:val="16"/>
              </w:rPr>
              <w:t>2018</w:t>
            </w:r>
          </w:p>
        </w:tc>
      </w:tr>
      <w:tr>
        <w:trPr>
          <w:cantSplit/>
        </w:trPr>
        <w:tc>
          <w:tcPr>
            <w:tcW w:type="dxa" w:w="510"/>
            <w:vAlign w:val="center"/>
          </w:tcPr>
          <w:p>
            <w:pPr>
              <w:spacing w:after="40"/>
              <w:ind w:firstLine="0" w:left="0" w:right="0"/>
              <w:jc w:val="left"/>
            </w:pPr>
            <w:r>
              <w:rPr>
                <w:rFonts w:ascii="Times New Roman" w:hAnsi="Times New Roman"/>
                <w:b w:val="0"/>
                <w:sz w:val="16"/>
              </w:rPr>
              <w:t>N4</w:t>
            </w:r>
          </w:p>
        </w:tc>
        <w:tc>
          <w:tcPr>
            <w:tcW w:type="dxa" w:w="1417"/>
            <w:vAlign w:val="center"/>
          </w:tcPr>
          <w:p>
            <w:pPr>
              <w:spacing w:after="40"/>
              <w:ind w:firstLine="0" w:left="0" w:right="0"/>
              <w:jc w:val="left"/>
            </w:pPr>
            <w:r>
              <w:rPr>
                <w:rFonts w:ascii="Times New Roman" w:hAnsi="Times New Roman"/>
                <w:b w:val="0"/>
                <w:sz w:val="16"/>
              </w:rPr>
              <w:t>Kwilu</w:t>
            </w:r>
          </w:p>
        </w:tc>
        <w:tc>
          <w:tcPr>
            <w:tcW w:type="dxa" w:w="964"/>
            <w:vAlign w:val="center"/>
          </w:tcPr>
          <w:p>
            <w:pPr>
              <w:spacing w:after="40"/>
              <w:ind w:firstLine="0" w:left="0" w:right="0"/>
              <w:jc w:val="left"/>
            </w:pPr>
            <w:r>
              <w:rPr>
                <w:rFonts w:ascii="Times New Roman" w:hAnsi="Times New Roman"/>
                <w:b w:val="0"/>
                <w:sz w:val="16"/>
              </w:rPr>
              <w:t>5.81</w:t>
            </w:r>
          </w:p>
        </w:tc>
        <w:tc>
          <w:tcPr>
            <w:tcW w:type="dxa" w:w="964"/>
            <w:vAlign w:val="center"/>
          </w:tcPr>
          <w:p>
            <w:pPr>
              <w:spacing w:after="40"/>
              <w:ind w:firstLine="0" w:left="0" w:right="0"/>
              <w:jc w:val="left"/>
            </w:pPr>
            <w:r>
              <w:rPr>
                <w:rFonts w:ascii="Times New Roman" w:hAnsi="Times New Roman"/>
                <w:b w:val="0"/>
                <w:sz w:val="16"/>
              </w:rPr>
              <w:t>8.1</w:t>
            </w:r>
          </w:p>
        </w:tc>
        <w:tc>
          <w:tcPr>
            <w:tcW w:type="dxa" w:w="1020"/>
            <w:vAlign w:val="center"/>
          </w:tcPr>
          <w:p>
            <w:pPr>
              <w:spacing w:after="40"/>
              <w:ind w:firstLine="0" w:left="0" w:right="0"/>
              <w:jc w:val="left"/>
            </w:pPr>
            <w:r>
              <w:rPr>
                <w:rFonts w:ascii="Times New Roman" w:hAnsi="Times New Roman"/>
                <w:b w:val="0"/>
                <w:sz w:val="16"/>
              </w:rPr>
              <w:t>2018</w:t>
            </w:r>
          </w:p>
        </w:tc>
      </w:tr>
      <w:tr>
        <w:trPr>
          <w:cantSplit/>
        </w:trPr>
        <w:tc>
          <w:tcPr>
            <w:tcW w:type="dxa" w:w="510"/>
            <w:vAlign w:val="center"/>
          </w:tcPr>
          <w:p>
            <w:pPr>
              <w:spacing w:after="40"/>
              <w:ind w:firstLine="0" w:left="0" w:right="0"/>
              <w:jc w:val="left"/>
            </w:pPr>
            <w:r>
              <w:rPr>
                <w:rFonts w:ascii="Times New Roman" w:hAnsi="Times New Roman"/>
                <w:b w:val="0"/>
                <w:sz w:val="16"/>
              </w:rPr>
              <w:t>N5</w:t>
            </w:r>
          </w:p>
        </w:tc>
        <w:tc>
          <w:tcPr>
            <w:tcW w:type="dxa" w:w="1417"/>
            <w:vAlign w:val="center"/>
          </w:tcPr>
          <w:p>
            <w:pPr>
              <w:spacing w:after="40"/>
              <w:ind w:firstLine="0" w:left="0" w:right="0"/>
              <w:jc w:val="left"/>
            </w:pPr>
            <w:r>
              <w:rPr>
                <w:rFonts w:ascii="Times New Roman" w:hAnsi="Times New Roman"/>
                <w:b w:val="0"/>
                <w:sz w:val="16"/>
              </w:rPr>
              <w:t>Mongala</w:t>
            </w:r>
          </w:p>
        </w:tc>
        <w:tc>
          <w:tcPr>
            <w:tcW w:type="dxa" w:w="964"/>
            <w:vAlign w:val="center"/>
          </w:tcPr>
          <w:p>
            <w:pPr>
              <w:spacing w:after="40"/>
              <w:ind w:firstLine="0" w:left="0" w:right="0"/>
              <w:jc w:val="left"/>
            </w:pPr>
            <w:r>
              <w:rPr>
                <w:rFonts w:ascii="Times New Roman" w:hAnsi="Times New Roman"/>
                <w:b w:val="0"/>
                <w:sz w:val="16"/>
              </w:rPr>
              <w:t>12.38</w:t>
            </w:r>
          </w:p>
        </w:tc>
        <w:tc>
          <w:tcPr>
            <w:tcW w:type="dxa" w:w="964"/>
            <w:vAlign w:val="center"/>
          </w:tcPr>
          <w:p>
            <w:pPr>
              <w:spacing w:after="40"/>
              <w:ind w:firstLine="0" w:left="0" w:right="0"/>
              <w:jc w:val="left"/>
            </w:pPr>
            <w:r>
              <w:rPr>
                <w:rFonts w:ascii="Times New Roman" w:hAnsi="Times New Roman"/>
                <w:b w:val="0"/>
                <w:sz w:val="16"/>
              </w:rPr>
              <w:t>158.5</w:t>
            </w:r>
          </w:p>
        </w:tc>
        <w:tc>
          <w:tcPr>
            <w:tcW w:type="dxa" w:w="1020"/>
            <w:vAlign w:val="center"/>
          </w:tcPr>
          <w:p>
            <w:pPr>
              <w:spacing w:after="40"/>
              <w:ind w:firstLine="0" w:left="0" w:right="0"/>
              <w:jc w:val="left"/>
            </w:pPr>
            <w:r>
              <w:rPr>
                <w:rFonts w:ascii="Times New Roman" w:hAnsi="Times New Roman"/>
                <w:b w:val="0"/>
                <w:sz w:val="16"/>
              </w:rPr>
              <w:t>2018</w:t>
            </w:r>
          </w:p>
        </w:tc>
      </w:tr>
    </w:tbl>
    <w:p>
      <w:pPr>
        <w:jc w:val="both"/>
      </w:pPr>
      <w:r>
        <w:rPr/>
        <w:t>HT denotes mapped historical high-voltage linework; Water repeats the mapped-water proximity in Table XXI. The 2018 layer title is not confirmation of the date when each feature was surveyed or last operated. Distances are geometric, not construction or routing costs.</w:t>
      </w:r>
    </w:p>
    <w:p>
      <w:pPr>
        <w:jc w:val="both"/>
      </w:pPr>
      <w:r>
        <w:rPr/>
        <w:t>The published national WBES profile reports 77.4% of eligible firms experiencing electrical outages and 11.6 outages in a typical month. It also reports 1.7% direct exporters with at least 10% of sales exported and, among manufacturing firms only, 27.2% using inputs of foreign origin [44]. These observations document an economic and energy context, not the functions of N1–N5. Foreign-input dependence is not dependence on Kinshasa. Neither current reliable power nor local output transformation, employment or essential-service capacity is measured at the new sites.</w:t>
      </w:r>
    </w:p>
    <w:p>
      <w:pPr>
        <w:jc w:val="both"/>
      </w:pPr>
      <w:r>
        <w:rPr/>
        <w:t>The additional layer strengthens the explicit evidence framework for functional autonomy without fulfilling empirical validation of the regional coverage outcome. Coverage scenarios remain conditional on assumed services and distances; calibrated error distributions require representative independent observations matched in place, epoch and measurement target. Historical energy proximity is not such an observation of household access.</w:t>
      </w:r>
    </w:p>
    <w:p>
      <w:pPr>
        <w:pStyle w:val="Heading2"/>
        <w:ind w:firstLine="0"/>
        <w:jc w:val="both"/>
      </w:pPr>
      <w:r>
        <w:rPr/>
        <w:t>O. Forty Route Disagreements and Limited Documentary Checks</w:t>
      </w:r>
    </w:p>
    <w:p>
      <w:pPr>
        <w:keepNext/>
        <w:spacing w:after="0"/>
        <w:ind w:firstLine="0"/>
        <w:jc w:val="center"/>
      </w:pPr>
      <w:r>
        <w:rPr>
          <w:rFonts w:ascii="Times New Roman" w:hAnsi="Times New Roman"/>
          <w:b w:val="0"/>
          <w:sz w:val="16"/>
        </w:rPr>
        <w:t>TABLE XXIII</w:t>
        <w:br/>
        <w:t>MODEL AND OSRM DISAGREEMENTS FOR FORTY SUPPLIED ROUTES</w:t>
      </w:r>
    </w:p>
    <w:tbl>
      <w:tblPr>
        <w:tblW w:type="dxa" w:w="4876"/>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1800"/>
        <w:gridCol w:w="605"/>
        <w:gridCol w:w="706"/>
        <w:gridCol w:w="864"/>
        <w:gridCol w:w="864"/>
      </w:tblGrid>
      <w:tr>
        <w:trPr>
          <w:cantSplit/>
          <w:tblHeader/>
        </w:trPr>
        <w:tc>
          <w:tcPr>
            <w:tcW w:type="dxa" w:w="1800"/>
            <w:vAlign w:val="center"/>
          </w:tcPr>
          <w:p>
            <w:pPr>
              <w:spacing w:after="40"/>
              <w:ind w:firstLine="0" w:left="0" w:right="0"/>
              <w:jc w:val="left"/>
            </w:pPr>
            <w:r>
              <w:rPr>
                <w:rFonts w:ascii="Times New Roman" w:hAnsi="Times New Roman"/>
                <w:b/>
                <w:sz w:val="16"/>
              </w:rPr>
              <w:t>Network</w:t>
            </w:r>
          </w:p>
        </w:tc>
        <w:tc>
          <w:tcPr>
            <w:tcW w:type="dxa" w:w="605"/>
            <w:vAlign w:val="center"/>
          </w:tcPr>
          <w:p>
            <w:pPr>
              <w:spacing w:after="40"/>
              <w:ind w:firstLine="0" w:left="0" w:right="0"/>
              <w:jc w:val="left"/>
            </w:pPr>
            <w:r>
              <w:rPr>
                <w:rFonts w:ascii="Times New Roman" w:hAnsi="Times New Roman"/>
                <w:b/>
                <w:sz w:val="16"/>
              </w:rPr>
              <w:t>n</w:t>
            </w:r>
          </w:p>
        </w:tc>
        <w:tc>
          <w:tcPr>
            <w:tcW w:type="dxa" w:w="706"/>
            <w:vAlign w:val="center"/>
          </w:tcPr>
          <w:p>
            <w:pPr>
              <w:spacing w:after="40"/>
              <w:ind w:firstLine="0" w:left="0" w:right="0"/>
              <w:jc w:val="left"/>
            </w:pPr>
            <w:r>
              <w:rPr>
                <w:rFonts w:ascii="Times New Roman" w:hAnsi="Times New Roman"/>
                <w:b/>
                <w:sz w:val="16"/>
              </w:rPr>
              <w:t>No path</w:t>
            </w:r>
          </w:p>
        </w:tc>
        <w:tc>
          <w:tcPr>
            <w:tcW w:type="dxa" w:w="864"/>
            <w:vAlign w:val="center"/>
          </w:tcPr>
          <w:p>
            <w:pPr>
              <w:spacing w:after="40"/>
              <w:ind w:firstLine="0" w:left="0" w:right="0"/>
              <w:jc w:val="left"/>
            </w:pPr>
            <w:r>
              <w:rPr>
                <w:rFonts w:ascii="Times New Roman" w:hAnsi="Times New Roman"/>
                <w:b/>
                <w:sz w:val="16"/>
              </w:rPr>
              <w:t>Mean %</w:t>
            </w:r>
          </w:p>
        </w:tc>
        <w:tc>
          <w:tcPr>
            <w:tcW w:type="dxa" w:w="864"/>
            <w:vAlign w:val="center"/>
          </w:tcPr>
          <w:p>
            <w:pPr>
              <w:spacing w:after="40"/>
              <w:ind w:firstLine="0" w:left="0" w:right="0"/>
              <w:jc w:val="left"/>
            </w:pPr>
            <w:r>
              <w:rPr>
                <w:rFonts w:ascii="Times New Roman" w:hAnsi="Times New Roman"/>
                <w:b/>
                <w:sz w:val="16"/>
              </w:rPr>
              <w:t>Median %</w:t>
            </w:r>
          </w:p>
        </w:tc>
      </w:tr>
      <w:tr>
        <w:trPr>
          <w:cantSplit/>
        </w:trPr>
        <w:tc>
          <w:tcPr>
            <w:tcW w:type="dxa" w:w="1800"/>
            <w:vAlign w:val="center"/>
          </w:tcPr>
          <w:p>
            <w:pPr>
              <w:spacing w:after="40"/>
              <w:ind w:firstLine="0" w:left="0" w:right="0"/>
              <w:jc w:val="left"/>
            </w:pPr>
            <w:r>
              <w:rPr>
                <w:rFonts w:ascii="Times New Roman" w:hAnsi="Times New Roman"/>
                <w:b w:val="0"/>
                <w:sz w:val="16"/>
              </w:rPr>
              <w:t>Main</w:t>
            </w:r>
          </w:p>
        </w:tc>
        <w:tc>
          <w:tcPr>
            <w:tcW w:type="dxa" w:w="605"/>
            <w:vAlign w:val="center"/>
          </w:tcPr>
          <w:p>
            <w:pPr>
              <w:spacing w:after="40"/>
              <w:ind w:firstLine="0" w:left="0" w:right="0"/>
              <w:jc w:val="left"/>
            </w:pPr>
            <w:r>
              <w:rPr>
                <w:rFonts w:ascii="Times New Roman" w:hAnsi="Times New Roman"/>
                <w:b w:val="0"/>
                <w:sz w:val="16"/>
              </w:rPr>
              <w:t>29</w:t>
            </w:r>
          </w:p>
        </w:tc>
        <w:tc>
          <w:tcPr>
            <w:tcW w:type="dxa" w:w="706"/>
            <w:vAlign w:val="center"/>
          </w:tcPr>
          <w:p>
            <w:pPr>
              <w:spacing w:after="40"/>
              <w:ind w:firstLine="0" w:left="0" w:right="0"/>
              <w:jc w:val="left"/>
            </w:pPr>
            <w:r>
              <w:rPr>
                <w:rFonts w:ascii="Times New Roman" w:hAnsi="Times New Roman"/>
                <w:b w:val="0"/>
                <w:sz w:val="16"/>
              </w:rPr>
              <w:t>11</w:t>
            </w:r>
          </w:p>
        </w:tc>
        <w:tc>
          <w:tcPr>
            <w:tcW w:type="dxa" w:w="864"/>
            <w:vAlign w:val="center"/>
          </w:tcPr>
          <w:p>
            <w:pPr>
              <w:spacing w:after="40"/>
              <w:ind w:firstLine="0" w:left="0" w:right="0"/>
              <w:jc w:val="left"/>
            </w:pPr>
            <w:r>
              <w:rPr>
                <w:rFonts w:ascii="Times New Roman" w:hAnsi="Times New Roman"/>
                <w:b w:val="0"/>
                <w:sz w:val="16"/>
              </w:rPr>
              <w:t>24.72</w:t>
            </w:r>
          </w:p>
        </w:tc>
        <w:tc>
          <w:tcPr>
            <w:tcW w:type="dxa" w:w="864"/>
            <w:vAlign w:val="center"/>
          </w:tcPr>
          <w:p>
            <w:pPr>
              <w:spacing w:after="40"/>
              <w:ind w:firstLine="0" w:left="0" w:right="0"/>
              <w:jc w:val="left"/>
            </w:pPr>
            <w:r>
              <w:rPr>
                <w:rFonts w:ascii="Times New Roman" w:hAnsi="Times New Roman"/>
                <w:b w:val="0"/>
                <w:sz w:val="16"/>
              </w:rPr>
              <w:t>3.30</w:t>
            </w:r>
          </w:p>
        </w:tc>
      </w:tr>
      <w:tr>
        <w:trPr>
          <w:cantSplit/>
        </w:trPr>
        <w:tc>
          <w:tcPr>
            <w:tcW w:type="dxa" w:w="1800"/>
            <w:vAlign w:val="center"/>
          </w:tcPr>
          <w:p>
            <w:pPr>
              <w:spacing w:after="40"/>
              <w:ind w:firstLine="0" w:left="0" w:right="0"/>
              <w:jc w:val="left"/>
            </w:pPr>
            <w:r>
              <w:rPr>
                <w:rFonts w:ascii="Times New Roman" w:hAnsi="Times New Roman"/>
                <w:b w:val="0"/>
                <w:sz w:val="16"/>
              </w:rPr>
              <w:t>Main + ferry</w:t>
            </w:r>
          </w:p>
        </w:tc>
        <w:tc>
          <w:tcPr>
            <w:tcW w:type="dxa" w:w="605"/>
            <w:vAlign w:val="center"/>
          </w:tcPr>
          <w:p>
            <w:pPr>
              <w:spacing w:after="40"/>
              <w:ind w:firstLine="0" w:left="0" w:right="0"/>
              <w:jc w:val="left"/>
            </w:pPr>
            <w:r>
              <w:rPr>
                <w:rFonts w:ascii="Times New Roman" w:hAnsi="Times New Roman"/>
                <w:b w:val="0"/>
                <w:sz w:val="16"/>
              </w:rPr>
              <w:t>29</w:t>
            </w:r>
          </w:p>
        </w:tc>
        <w:tc>
          <w:tcPr>
            <w:tcW w:type="dxa" w:w="706"/>
            <w:vAlign w:val="center"/>
          </w:tcPr>
          <w:p>
            <w:pPr>
              <w:spacing w:after="40"/>
              <w:ind w:firstLine="0" w:left="0" w:right="0"/>
              <w:jc w:val="left"/>
            </w:pPr>
            <w:r>
              <w:rPr>
                <w:rFonts w:ascii="Times New Roman" w:hAnsi="Times New Roman"/>
                <w:b w:val="0"/>
                <w:sz w:val="16"/>
              </w:rPr>
              <w:t>11</w:t>
            </w:r>
          </w:p>
        </w:tc>
        <w:tc>
          <w:tcPr>
            <w:tcW w:type="dxa" w:w="864"/>
            <w:vAlign w:val="center"/>
          </w:tcPr>
          <w:p>
            <w:pPr>
              <w:spacing w:after="40"/>
              <w:ind w:firstLine="0" w:left="0" w:right="0"/>
              <w:jc w:val="left"/>
            </w:pPr>
            <w:r>
              <w:rPr>
                <w:rFonts w:ascii="Times New Roman" w:hAnsi="Times New Roman"/>
                <w:b w:val="0"/>
                <w:sz w:val="16"/>
              </w:rPr>
              <w:t>20.47</w:t>
            </w:r>
          </w:p>
        </w:tc>
        <w:tc>
          <w:tcPr>
            <w:tcW w:type="dxa" w:w="864"/>
            <w:vAlign w:val="center"/>
          </w:tcPr>
          <w:p>
            <w:pPr>
              <w:spacing w:after="40"/>
              <w:ind w:firstLine="0" w:left="0" w:right="0"/>
              <w:jc w:val="left"/>
            </w:pPr>
            <w:r>
              <w:rPr>
                <w:rFonts w:ascii="Times New Roman" w:hAnsi="Times New Roman"/>
                <w:b w:val="0"/>
                <w:sz w:val="16"/>
              </w:rPr>
              <w:t>3.30</w:t>
            </w:r>
          </w:p>
        </w:tc>
      </w:tr>
      <w:tr>
        <w:trPr>
          <w:cantSplit/>
        </w:trPr>
        <w:tc>
          <w:tcPr>
            <w:tcW w:type="dxa" w:w="1800"/>
            <w:vAlign w:val="center"/>
          </w:tcPr>
          <w:p>
            <w:pPr>
              <w:spacing w:after="40"/>
              <w:ind w:firstLine="0" w:left="0" w:right="0"/>
              <w:jc w:val="left"/>
            </w:pPr>
            <w:r>
              <w:rPr>
                <w:rFonts w:ascii="Times New Roman" w:hAnsi="Times New Roman"/>
                <w:b w:val="0"/>
                <w:sz w:val="16"/>
              </w:rPr>
              <w:t>Tracks</w:t>
            </w:r>
          </w:p>
        </w:tc>
        <w:tc>
          <w:tcPr>
            <w:tcW w:type="dxa" w:w="605"/>
            <w:vAlign w:val="center"/>
          </w:tcPr>
          <w:p>
            <w:pPr>
              <w:spacing w:after="40"/>
              <w:ind w:firstLine="0" w:left="0" w:right="0"/>
              <w:jc w:val="left"/>
            </w:pPr>
            <w:r>
              <w:rPr>
                <w:rFonts w:ascii="Times New Roman" w:hAnsi="Times New Roman"/>
                <w:b w:val="0"/>
                <w:sz w:val="16"/>
              </w:rPr>
              <w:t>26</w:t>
            </w:r>
          </w:p>
        </w:tc>
        <w:tc>
          <w:tcPr>
            <w:tcW w:type="dxa" w:w="706"/>
            <w:vAlign w:val="center"/>
          </w:tcPr>
          <w:p>
            <w:pPr>
              <w:spacing w:after="40"/>
              <w:ind w:firstLine="0" w:left="0" w:right="0"/>
              <w:jc w:val="left"/>
            </w:pPr>
            <w:r>
              <w:rPr>
                <w:rFonts w:ascii="Times New Roman" w:hAnsi="Times New Roman"/>
                <w:b w:val="0"/>
                <w:sz w:val="16"/>
              </w:rPr>
              <w:t>14</w:t>
            </w:r>
          </w:p>
        </w:tc>
        <w:tc>
          <w:tcPr>
            <w:tcW w:type="dxa" w:w="864"/>
            <w:vAlign w:val="center"/>
          </w:tcPr>
          <w:p>
            <w:pPr>
              <w:spacing w:after="40"/>
              <w:ind w:firstLine="0" w:left="0" w:right="0"/>
              <w:jc w:val="left"/>
            </w:pPr>
            <w:r>
              <w:rPr>
                <w:rFonts w:ascii="Times New Roman" w:hAnsi="Times New Roman"/>
                <w:b w:val="0"/>
                <w:sz w:val="16"/>
              </w:rPr>
              <w:t>24.74</w:t>
            </w:r>
          </w:p>
        </w:tc>
        <w:tc>
          <w:tcPr>
            <w:tcW w:type="dxa" w:w="864"/>
            <w:vAlign w:val="center"/>
          </w:tcPr>
          <w:p>
            <w:pPr>
              <w:spacing w:after="40"/>
              <w:ind w:firstLine="0" w:left="0" w:right="0"/>
              <w:jc w:val="left"/>
            </w:pPr>
            <w:r>
              <w:rPr>
                <w:rFonts w:ascii="Times New Roman" w:hAnsi="Times New Roman"/>
                <w:b w:val="0"/>
                <w:sz w:val="16"/>
              </w:rPr>
              <w:t>5.88</w:t>
            </w:r>
          </w:p>
        </w:tc>
      </w:tr>
      <w:tr>
        <w:trPr>
          <w:cantSplit/>
        </w:trPr>
        <w:tc>
          <w:tcPr>
            <w:tcW w:type="dxa" w:w="1800"/>
            <w:vAlign w:val="center"/>
          </w:tcPr>
          <w:p>
            <w:pPr>
              <w:spacing w:after="40"/>
              <w:ind w:firstLine="0" w:left="0" w:right="0"/>
              <w:jc w:val="left"/>
            </w:pPr>
            <w:r>
              <w:rPr>
                <w:rFonts w:ascii="Times New Roman" w:hAnsi="Times New Roman"/>
                <w:b w:val="0"/>
                <w:sz w:val="16"/>
              </w:rPr>
              <w:t>Tracks + ferry</w:t>
            </w:r>
          </w:p>
        </w:tc>
        <w:tc>
          <w:tcPr>
            <w:tcW w:type="dxa" w:w="605"/>
            <w:vAlign w:val="center"/>
          </w:tcPr>
          <w:p>
            <w:pPr>
              <w:spacing w:after="40"/>
              <w:ind w:firstLine="0" w:left="0" w:right="0"/>
              <w:jc w:val="left"/>
            </w:pPr>
            <w:r>
              <w:rPr>
                <w:rFonts w:ascii="Times New Roman" w:hAnsi="Times New Roman"/>
                <w:b w:val="0"/>
                <w:sz w:val="16"/>
              </w:rPr>
              <w:t>26</w:t>
            </w:r>
          </w:p>
        </w:tc>
        <w:tc>
          <w:tcPr>
            <w:tcW w:type="dxa" w:w="706"/>
            <w:vAlign w:val="center"/>
          </w:tcPr>
          <w:p>
            <w:pPr>
              <w:spacing w:after="40"/>
              <w:ind w:firstLine="0" w:left="0" w:right="0"/>
              <w:jc w:val="left"/>
            </w:pPr>
            <w:r>
              <w:rPr>
                <w:rFonts w:ascii="Times New Roman" w:hAnsi="Times New Roman"/>
                <w:b w:val="0"/>
                <w:sz w:val="16"/>
              </w:rPr>
              <w:t>14</w:t>
            </w:r>
          </w:p>
        </w:tc>
        <w:tc>
          <w:tcPr>
            <w:tcW w:type="dxa" w:w="864"/>
            <w:vAlign w:val="center"/>
          </w:tcPr>
          <w:p>
            <w:pPr>
              <w:spacing w:after="40"/>
              <w:ind w:firstLine="0" w:left="0" w:right="0"/>
              <w:jc w:val="left"/>
            </w:pPr>
            <w:r>
              <w:rPr>
                <w:rFonts w:ascii="Times New Roman" w:hAnsi="Times New Roman"/>
                <w:b w:val="0"/>
                <w:sz w:val="16"/>
              </w:rPr>
              <w:t>20.67</w:t>
            </w:r>
          </w:p>
        </w:tc>
        <w:tc>
          <w:tcPr>
            <w:tcW w:type="dxa" w:w="864"/>
            <w:vAlign w:val="center"/>
          </w:tcPr>
          <w:p>
            <w:pPr>
              <w:spacing w:after="40"/>
              <w:ind w:firstLine="0" w:left="0" w:right="0"/>
              <w:jc w:val="left"/>
            </w:pPr>
            <w:r>
              <w:rPr>
                <w:rFonts w:ascii="Times New Roman" w:hAnsi="Times New Roman"/>
                <w:b w:val="0"/>
                <w:sz w:val="16"/>
              </w:rPr>
              <w:t>5.88</w:t>
            </w:r>
          </w:p>
        </w:tc>
      </w:tr>
    </w:tbl>
    <w:p>
      <w:pPr>
        <w:jc w:val="both"/>
      </w:pPr>
      <w:r>
        <w:rPr/>
        <w:t>Main roads provide 29 finite comparisons and 11 unavailable paths. Mean absolute relative disagreement with OSRM is 24.72%, but the median is 3.30%; mean signed difference is +40.88 km. Adding the conditional Bandundu ferry leaves the finite count at 29 and reduces the mean to 20.47%, with the median unchanged. Including tracks yields 26 finite comparisons and 14 unavailable paths, with mean/median disagreements of 24.74%/5.88%; its conditional ferry variant gives 20.67%/5.88%. Additional track geometry can change nearest-vertex attachment to a disconnected component, so the attachment rule need not produce monotonic reachability. No finite distances are substituted for the unavailable routes.</w:t>
      </w:r>
    </w:p>
    <w:p>
      <w:pPr>
        <w:jc w:val="both"/>
      </w:pPr>
      <w:r>
        <w:rPr/>
        <w:t>In the main-road comparison, large discrepancies include Binga–Gemena (476.13 km versus 177.62 km OSRM), Kenge–Bandundu (660.77 versus 248.29 km), and Matadi–Boma (228.01 versus 120.79 km). These cases require route-geometry and junction inspection before operational interpretation. Across all four variants, no 100-km classification disagreement occurs among finite comparisons; none of the unavailable paths has an OSRM reference within 100 km. Only three supplied OSRM routes are within 100 km, so the agreement check has limited threshold coverage. This sample-specific finding does not validate regional grid-cell coverage, and it is not evidence that missing links are unimportant. The supplied routes are not a probability sample of household journeys.</w:t>
      </w:r>
    </w:p>
    <w:p>
      <w:pPr>
        <w:keepNext/>
        <w:spacing w:after="0"/>
        <w:ind w:firstLine="0"/>
        <w:jc w:val="center"/>
      </w:pPr>
      <w:r>
        <w:rPr>
          <w:rFonts w:ascii="Times New Roman" w:hAnsi="Times New Roman"/>
          <w:b w:val="0"/>
          <w:sz w:val="16"/>
        </w:rPr>
        <w:t>TABLE XXIV</w:t>
        <w:br/>
        <w:t>TWO COMMERCIAL DOCUMENTARY DISTANCE CHECKS</w:t>
      </w:r>
    </w:p>
    <w:tbl>
      <w:tblPr>
        <w:tblW w:type="dxa" w:w="4876"/>
        <w:jc w:val="center"/>
        <w:tblLayout w:type="fixed"/>
        <w:tblLook w:firstColumn="1" w:firstRow="1" w:lastColumn="0" w:lastRow="0" w:noHBand="0" w:noVBand="1" w:val="04A0"/>
        <w:tblBorders>
          <w:top w:val="single" w:sz="4" w:color="888888"/>
          <w:bottom w:val="single" w:sz="4" w:color="888888"/>
          <w:insideH w:val="single" w:sz="4" w:color="888888"/>
        </w:tblBorders>
      </w:tblPr>
      <w:tblGrid>
        <w:gridCol w:w="792"/>
        <w:gridCol w:w="792"/>
        <w:gridCol w:w="907"/>
        <w:gridCol w:w="936"/>
        <w:gridCol w:w="1411"/>
      </w:tblGrid>
      <w:tr>
        <w:trPr>
          <w:cantSplit/>
          <w:tblHeader/>
        </w:trPr>
        <w:tc>
          <w:tcPr>
            <w:tcW w:type="dxa" w:w="792"/>
            <w:vAlign w:val="center"/>
          </w:tcPr>
          <w:p>
            <w:pPr>
              <w:spacing w:after="40"/>
              <w:ind w:firstLine="0" w:left="0" w:right="0"/>
              <w:jc w:val="left"/>
            </w:pPr>
            <w:r>
              <w:rPr>
                <w:rFonts w:ascii="Times New Roman" w:hAnsi="Times New Roman"/>
                <w:b/>
                <w:sz w:val="16"/>
              </w:rPr>
              <w:t>Route ID</w:t>
            </w:r>
          </w:p>
        </w:tc>
        <w:tc>
          <w:tcPr>
            <w:tcW w:type="dxa" w:w="792"/>
            <w:vAlign w:val="center"/>
          </w:tcPr>
          <w:p>
            <w:pPr>
              <w:spacing w:after="40"/>
              <w:ind w:firstLine="0" w:left="0" w:right="0"/>
              <w:jc w:val="left"/>
            </w:pPr>
            <w:r>
              <w:rPr>
                <w:rFonts w:ascii="Times New Roman" w:hAnsi="Times New Roman"/>
                <w:b/>
                <w:sz w:val="16"/>
              </w:rPr>
              <w:t>Doc km</w:t>
            </w:r>
          </w:p>
        </w:tc>
        <w:tc>
          <w:tcPr>
            <w:tcW w:type="dxa" w:w="907"/>
            <w:vAlign w:val="center"/>
          </w:tcPr>
          <w:p>
            <w:pPr>
              <w:spacing w:after="40"/>
              <w:ind w:firstLine="0" w:left="0" w:right="0"/>
              <w:jc w:val="left"/>
            </w:pPr>
            <w:r>
              <w:rPr>
                <w:rFonts w:ascii="Times New Roman" w:hAnsi="Times New Roman"/>
                <w:b/>
                <w:sz w:val="16"/>
              </w:rPr>
              <w:t>OSRM km</w:t>
            </w:r>
          </w:p>
        </w:tc>
        <w:tc>
          <w:tcPr>
            <w:tcW w:type="dxa" w:w="936"/>
            <w:vAlign w:val="center"/>
          </w:tcPr>
          <w:p>
            <w:pPr>
              <w:spacing w:after="40"/>
              <w:ind w:firstLine="0" w:left="0" w:right="0"/>
              <w:jc w:val="left"/>
            </w:pPr>
            <w:r>
              <w:rPr>
                <w:rFonts w:ascii="Times New Roman" w:hAnsi="Times New Roman"/>
                <w:b/>
                <w:sz w:val="16"/>
              </w:rPr>
              <w:t>Model km</w:t>
            </w:r>
          </w:p>
        </w:tc>
        <w:tc>
          <w:tcPr>
            <w:tcW w:type="dxa" w:w="1411"/>
            <w:vAlign w:val="center"/>
          </w:tcPr>
          <w:p>
            <w:pPr>
              <w:spacing w:after="40"/>
              <w:ind w:firstLine="0" w:left="0" w:right="0"/>
              <w:jc w:val="left"/>
            </w:pPr>
            <w:r>
              <w:rPr>
                <w:rFonts w:ascii="Times New Roman" w:hAnsi="Times New Roman"/>
                <w:b/>
                <w:sz w:val="16"/>
              </w:rPr>
              <w:t>Abs diff %</w:t>
            </w:r>
          </w:p>
        </w:tc>
      </w:tr>
      <w:tr>
        <w:trPr>
          <w:cantSplit/>
        </w:trPr>
        <w:tc>
          <w:tcPr>
            <w:tcW w:type="dxa" w:w="792"/>
            <w:vAlign w:val="center"/>
          </w:tcPr>
          <w:p>
            <w:pPr>
              <w:spacing w:after="40"/>
              <w:ind w:firstLine="0" w:left="0" w:right="0"/>
              <w:jc w:val="left"/>
            </w:pPr>
            <w:r>
              <w:rPr>
                <w:rFonts w:ascii="Times New Roman" w:hAnsi="Times New Roman"/>
                <w:b w:val="0"/>
                <w:sz w:val="16"/>
              </w:rPr>
              <w:t>TR-001</w:t>
            </w:r>
          </w:p>
        </w:tc>
        <w:tc>
          <w:tcPr>
            <w:tcW w:type="dxa" w:w="792"/>
            <w:vAlign w:val="center"/>
          </w:tcPr>
          <w:p>
            <w:pPr>
              <w:spacing w:after="40"/>
              <w:ind w:firstLine="0" w:left="0" w:right="0"/>
              <w:jc w:val="left"/>
            </w:pPr>
            <w:r>
              <w:rPr>
                <w:rFonts w:ascii="Times New Roman" w:hAnsi="Times New Roman"/>
                <w:b w:val="0"/>
                <w:sz w:val="16"/>
              </w:rPr>
              <w:t>120</w:t>
            </w:r>
          </w:p>
        </w:tc>
        <w:tc>
          <w:tcPr>
            <w:tcW w:type="dxa" w:w="907"/>
            <w:vAlign w:val="center"/>
          </w:tcPr>
          <w:p>
            <w:pPr>
              <w:spacing w:after="40"/>
              <w:ind w:firstLine="0" w:left="0" w:right="0"/>
              <w:jc w:val="left"/>
            </w:pPr>
            <w:r>
              <w:rPr>
                <w:rFonts w:ascii="Times New Roman" w:hAnsi="Times New Roman"/>
                <w:b w:val="0"/>
                <w:sz w:val="16"/>
              </w:rPr>
              <w:t>120.79</w:t>
            </w:r>
          </w:p>
        </w:tc>
        <w:tc>
          <w:tcPr>
            <w:tcW w:type="dxa" w:w="936"/>
            <w:vAlign w:val="center"/>
          </w:tcPr>
          <w:p>
            <w:pPr>
              <w:spacing w:after="40"/>
              <w:ind w:firstLine="0" w:left="0" w:right="0"/>
              <w:jc w:val="left"/>
            </w:pPr>
            <w:r>
              <w:rPr>
                <w:rFonts w:ascii="Times New Roman" w:hAnsi="Times New Roman"/>
                <w:b w:val="0"/>
                <w:sz w:val="16"/>
              </w:rPr>
              <w:t>228.01</w:t>
            </w:r>
          </w:p>
        </w:tc>
        <w:tc>
          <w:tcPr>
            <w:tcW w:type="dxa" w:w="1411"/>
            <w:vAlign w:val="center"/>
          </w:tcPr>
          <w:p>
            <w:pPr>
              <w:spacing w:after="40"/>
              <w:ind w:firstLine="0" w:left="0" w:right="0"/>
              <w:jc w:val="left"/>
            </w:pPr>
            <w:r>
              <w:rPr>
                <w:rFonts w:ascii="Times New Roman" w:hAnsi="Times New Roman"/>
                <w:b w:val="0"/>
                <w:sz w:val="16"/>
              </w:rPr>
              <w:t>90.01</w:t>
            </w:r>
          </w:p>
        </w:tc>
      </w:tr>
      <w:tr>
        <w:trPr>
          <w:cantSplit/>
        </w:trPr>
        <w:tc>
          <w:tcPr>
            <w:tcW w:type="dxa" w:w="792"/>
            <w:vAlign w:val="center"/>
          </w:tcPr>
          <w:p>
            <w:pPr>
              <w:spacing w:after="40"/>
              <w:ind w:firstLine="0" w:left="0" w:right="0"/>
              <w:jc w:val="left"/>
            </w:pPr>
            <w:r>
              <w:rPr>
                <w:rFonts w:ascii="Times New Roman" w:hAnsi="Times New Roman"/>
                <w:b w:val="0"/>
                <w:sz w:val="16"/>
              </w:rPr>
              <w:t>TR-018</w:t>
            </w:r>
          </w:p>
        </w:tc>
        <w:tc>
          <w:tcPr>
            <w:tcW w:type="dxa" w:w="792"/>
            <w:vAlign w:val="center"/>
          </w:tcPr>
          <w:p>
            <w:pPr>
              <w:spacing w:after="40"/>
              <w:ind w:firstLine="0" w:left="0" w:right="0"/>
              <w:jc w:val="left"/>
            </w:pPr>
            <w:r>
              <w:rPr>
                <w:rFonts w:ascii="Times New Roman" w:hAnsi="Times New Roman"/>
                <w:b w:val="0"/>
                <w:sz w:val="16"/>
              </w:rPr>
              <w:t>155</w:t>
            </w:r>
          </w:p>
        </w:tc>
        <w:tc>
          <w:tcPr>
            <w:tcW w:type="dxa" w:w="907"/>
            <w:vAlign w:val="center"/>
          </w:tcPr>
          <w:p>
            <w:pPr>
              <w:spacing w:after="40"/>
              <w:ind w:firstLine="0" w:left="0" w:right="0"/>
              <w:jc w:val="left"/>
            </w:pPr>
            <w:r>
              <w:rPr>
                <w:rFonts w:ascii="Times New Roman" w:hAnsi="Times New Roman"/>
                <w:b w:val="0"/>
                <w:sz w:val="16"/>
              </w:rPr>
              <w:t>147.00</w:t>
            </w:r>
          </w:p>
        </w:tc>
        <w:tc>
          <w:tcPr>
            <w:tcW w:type="dxa" w:w="936"/>
            <w:vAlign w:val="center"/>
          </w:tcPr>
          <w:p>
            <w:pPr>
              <w:spacing w:after="40"/>
              <w:ind w:firstLine="0" w:left="0" w:right="0"/>
              <w:jc w:val="left"/>
            </w:pPr>
            <w:r>
              <w:rPr>
                <w:rFonts w:ascii="Times New Roman" w:hAnsi="Times New Roman"/>
                <w:b w:val="0"/>
                <w:sz w:val="16"/>
              </w:rPr>
              <w:t>142.53</w:t>
            </w:r>
          </w:p>
        </w:tc>
        <w:tc>
          <w:tcPr>
            <w:tcW w:type="dxa" w:w="1411"/>
            <w:vAlign w:val="center"/>
          </w:tcPr>
          <w:p>
            <w:pPr>
              <w:spacing w:after="40"/>
              <w:ind w:firstLine="0" w:left="0" w:right="0"/>
              <w:jc w:val="left"/>
            </w:pPr>
            <w:r>
              <w:rPr>
                <w:rFonts w:ascii="Times New Roman" w:hAnsi="Times New Roman"/>
                <w:b w:val="0"/>
                <w:sz w:val="16"/>
              </w:rPr>
              <w:t>8.04</w:t>
            </w:r>
          </w:p>
        </w:tc>
      </w:tr>
    </w:tbl>
    <w:p>
      <w:pPr>
        <w:jc w:val="both"/>
      </w:pPr>
      <w:r>
        <w:rPr/>
        <w:t>TR-001 denotes Matadi–Boma and TR-018 Kinshasa–Mbanza-Ngungu. The commercial page advertises 120 and 155 km, respectively [47]. Main-road model lengths are 228.01 and 142.53 km, yielding absolute relative differences of 90.01% and 8.04%. OSRM lengths are 120.79 and 147.00 km. The Matadi–Boma discrepancy cautions against a general validated-distance claim. The unverified Kinshasa–Kenge value is retained only in the evidence inventory; no aggregate empirical error statistic is estimated from the two commercial entries. These checks strengthen a documented, limited audit, without replacing measured route or household-access observations.</w:t>
      </w:r>
    </w:p>
    <w:p>
      <w:pPr>
        <w:pStyle w:val="Heading1"/>
        <w:ind w:firstLine="0"/>
        <w:jc w:val="both"/>
      </w:pPr>
      <w:r>
        <w:t>IV. CONCLUSION</w:t>
      </w:r>
    </w:p>
    <w:p>
      <w:pPr>
        <w:jc w:val="both"/>
      </w:pPr>
      <w:r>
        <w:t>Conditional new-centre allocation extends the original territorial ambition beyond selecting existing hubs. Keeping all 26 existing hubs fixed, five additional centres on the coarse grid increase WorldPop main-road five-kilometre-demand coverage from 59.08% to 64.68%; the finer candidate grid reaches 65.57%. Ten coarse-grid centres reach 69.17%. These are exact optima for the encoded candidate sets and assumed 100-km access threshold, not established construction plans. Product, road and candidate-grid choices materially affect the solutions.</w:t>
      </w:r>
    </w:p>
    <w:p>
      <w:pPr>
        <w:jc w:val="both"/>
      </w:pPr>
      <w:r>
        <w:t>New urban hubs remain the planning objective, and relative functional autonomy is retained as a specified assessment framework. The model locates sectors with conditional marginal service benefits, evaluates an explicit water-proximity constraint, and documents historical high-voltage proximity as a separate feasibility diagnostic. It does not establish reliable utilities, local transformation, employment, observed trade independence or parcel feasibility. Historical causation is not estimated. The forty-route audit shows substantial routing discrepancies and unavailable paths; commercial checks remain limited and do not establish calibrated accuracy. The previous input and sensitivity audits remain necessary: mapped connectivity, population modelling and assumed connectors constrain interpretation. Twenty-four new-centre runs complement 408 previous optimizations. Neither the optimum count of cities nor their realized sovereignty is demonstrated. Matched access observations, operational verification, rights and cost studies, and functional data are required before implementation; the main new-centre objective does not depend on an unavailable expert panel.</w:t>
      </w:r>
    </w:p>
    <w:p>
      <w:pPr>
        <w:pStyle w:val="Heading1"/>
        <w:ind w:firstLine="0"/>
        <w:jc w:val="both"/>
      </w:pPr>
      <w:r>
        <w:t>DATA AND AUTHOR STATEMENTS</w:t>
      </w:r>
    </w:p>
    <w:p>
      <w:pPr>
        <w:jc w:val="both"/>
      </w:pPr>
      <w:r>
        <w:t>The replication package is archived as version v2.0.0 on Zenodo (https://doi.org/10.5281/zenodo.23389655), published on 15 October 2026 from GitHub commit 8a4a186. It provides scripts, derived results, parameters, source metadata, checksums and reproduction instructions, including the forty-route inputs and 160 computed scenario rows. The repository is https://github.com/Nehemy29/rdc-urban-hubs-spatial-optimization. The original v1.0.0 archive (https://doi.org/10.5281/zenodo.22287395) predates these revisions; https://doi.org/10.5281/zenodo.22287394 identifies all versions. The present submission files add this archive citation after publication; the archived v2.0.0 calculation files and tag remain unchanged. Large raw third-party datasets are reacquired from their producers under documented terms. The small OSM ferry extract and OSM-derived diagnostic paths are supplied with ODbL attribution; protected-area and satellite reference geometries are not redistributed.</w:t>
      </w:r>
    </w:p>
    <w:p>
      <w:pPr>
        <w:jc w:val="both"/>
      </w:pPr>
      <w:r>
        <w:t>The sole author is responsible for the study, interpretation, and manuscript. As declared in the submitted version, the research received no external funding and the author reports no conflict of interest. Only public aggregate geospatial data are used; no individual mobility record or new human-participant survey is analysed. Computational verification and literature checks are distinguished from empirical field validation throughout.</w:t>
      </w:r>
    </w:p>
    <w:p>
      <w:pPr>
        <w:pStyle w:val="Heading1"/>
        <w:ind w:firstLine="0"/>
        <w:jc w:val="both"/>
      </w:pPr>
      <w:r>
        <w:t>REFERENCES</w:t>
      </w:r>
    </w:p>
    <w:p>
      <w:pPr>
        <w:spacing w:after="40" w:before="0" w:line="240" w:lineRule="auto"/>
        <w:ind w:firstLine="0"/>
        <w:jc w:val="both"/>
      </w:pPr>
      <w:r>
        <w:rPr>
          <w:rFonts w:ascii="Times New Roman" w:hAnsi="Times New Roman"/>
          <w:sz w:val="16"/>
        </w:rPr>
        <w:t>[1] J.-P. Rodrigue, The Geography of Transport Systems, 5th ed. Routledge, 2020.</w:t>
      </w:r>
    </w:p>
    <w:p>
      <w:pPr>
        <w:spacing w:after="40" w:before="0" w:line="240" w:lineRule="auto"/>
        <w:ind w:firstLine="0"/>
        <w:jc w:val="both"/>
      </w:pPr>
      <w:r>
        <w:rPr>
          <w:rFonts w:ascii="Times New Roman" w:hAnsi="Times New Roman"/>
          <w:sz w:val="16"/>
        </w:rPr>
        <w:t>[2] K. T. Geurs and B. van Wee, “Accessibility evaluation of land-use and transport strategies: Review and research directions,” Journal of Transport Geography, vol. 12, no. 2, pp. 127–140, 2004.</w:t>
      </w:r>
    </w:p>
    <w:p>
      <w:pPr>
        <w:spacing w:after="40" w:before="0" w:line="240" w:lineRule="auto"/>
        <w:ind w:firstLine="0"/>
        <w:jc w:val="both"/>
      </w:pPr>
      <w:r>
        <w:rPr>
          <w:rFonts w:ascii="Times New Roman" w:hAnsi="Times New Roman"/>
          <w:sz w:val="16"/>
        </w:rPr>
        <w:t>[3] A. Cattaneo, A. Nelson, T. McMenomy, “Global mapping of urban–rural catchment areas reveals unequal access to services,” Proceedings of the National Academy of Sciences, vol. 118, Art. no. e2011990118, 2021, doi: 10.1073/pnas.2011990118.</w:t>
      </w:r>
    </w:p>
    <w:p>
      <w:pPr>
        <w:spacing w:after="40" w:before="0" w:line="240" w:lineRule="auto"/>
        <w:ind w:firstLine="0"/>
        <w:jc w:val="both"/>
      </w:pPr>
      <w:r>
        <w:rPr>
          <w:rFonts w:ascii="Times New Roman" w:hAnsi="Times New Roman"/>
          <w:sz w:val="16"/>
        </w:rPr>
        <w:t>[4] S. L. Hakimi, “Optimum distribution of switching centers and the absolute centers and medians of a graph,” Operations Research, vol. 12, no. 3, pp. 450–459, 1964.</w:t>
      </w:r>
    </w:p>
    <w:p>
      <w:pPr>
        <w:spacing w:after="40" w:before="0" w:line="240" w:lineRule="auto"/>
        <w:ind w:firstLine="0"/>
        <w:jc w:val="both"/>
      </w:pPr>
      <w:r>
        <w:rPr>
          <w:rFonts w:ascii="Times New Roman" w:hAnsi="Times New Roman"/>
          <w:sz w:val="16"/>
        </w:rPr>
        <w:t>[5] C. S. ReVelle and R. W. Swain, “Central facilities location,” Geographical Analysis, vol. 2, no. 1, pp. 30–42, 1970.</w:t>
      </w:r>
    </w:p>
    <w:p>
      <w:pPr>
        <w:spacing w:after="40" w:before="0" w:line="240" w:lineRule="auto"/>
        <w:ind w:firstLine="0"/>
        <w:jc w:val="both"/>
      </w:pPr>
      <w:r>
        <w:rPr>
          <w:rFonts w:ascii="Times New Roman" w:hAnsi="Times New Roman"/>
          <w:sz w:val="16"/>
        </w:rPr>
        <w:t>[6] R. Church and C. ReVelle, “The maximal covering location problem,” Papers of the Regional Science Association, vol. 32, pp. 101–118, 1974.</w:t>
      </w:r>
    </w:p>
    <w:p>
      <w:pPr>
        <w:spacing w:after="40" w:before="0" w:line="240" w:lineRule="auto"/>
        <w:ind w:firstLine="0"/>
        <w:jc w:val="both"/>
      </w:pPr>
      <w:r>
        <w:rPr>
          <w:rFonts w:ascii="Times New Roman" w:hAnsi="Times New Roman"/>
          <w:sz w:val="16"/>
        </w:rPr>
        <w:t>[7] E. W. Dijkstra, “A note on two problems in connexion with graphs,” Numerische Mathematik, vol. 1, pp. 269–271, 1959.</w:t>
      </w:r>
    </w:p>
    <w:p>
      <w:pPr>
        <w:spacing w:after="40" w:before="0" w:line="240" w:lineRule="auto"/>
        <w:ind w:firstLine="0"/>
        <w:jc w:val="both"/>
      </w:pPr>
      <w:r>
        <w:rPr>
          <w:rFonts w:ascii="Times New Roman" w:hAnsi="Times New Roman"/>
          <w:sz w:val="16"/>
        </w:rPr>
        <w:t>[8] D. Runfola et al., “geoBoundaries: A global database of political administrative boundaries,” PLOS ONE, vol. 15, no. 4, Art. no. e0231866, 2020, doi: 10.1371/journal.pone.0231866.</w:t>
      </w:r>
    </w:p>
    <w:p>
      <w:pPr>
        <w:spacing w:after="40" w:before="0" w:line="240" w:lineRule="auto"/>
        <w:ind w:firstLine="0"/>
        <w:jc w:val="both"/>
      </w:pPr>
      <w:r>
        <w:rPr>
          <w:rFonts w:ascii="Times New Roman" w:hAnsi="Times New Roman"/>
          <w:sz w:val="16"/>
        </w:rPr>
        <w:t>[9] WorldPop, “Global population estimates 2015–2030, R2025A, version 1: COD 2025 constrained 100 m (alpha),” University of Southampton, 2025, doi: 10.5258/SOTON/WP00839. [Online]. Available: https://hub.worldpop.org/geodata/summary?id=73055.</w:t>
      </w:r>
    </w:p>
    <w:p>
      <w:pPr>
        <w:spacing w:after="40" w:before="0" w:line="240" w:lineRule="auto"/>
        <w:ind w:firstLine="0"/>
        <w:jc w:val="both"/>
      </w:pPr>
      <w:r>
        <w:rPr>
          <w:rFonts w:ascii="Times New Roman" w:hAnsi="Times New Roman"/>
          <w:sz w:val="16"/>
        </w:rPr>
        <w:t>[10] G. Boo, E. Darin, D. R. Leasure et al., “High-resolution population estimation using household survey data and building footprints,” Nature Communications, vol. 13, Art. no. 1330, 2022, doi: 10.1038/s41467-022-29094-x.</w:t>
      </w:r>
    </w:p>
    <w:p>
      <w:pPr>
        <w:spacing w:after="40" w:before="0" w:line="240" w:lineRule="auto"/>
        <w:ind w:firstLine="0"/>
        <w:jc w:val="both"/>
      </w:pPr>
      <w:r>
        <w:rPr>
          <w:rFonts w:ascii="Times New Roman" w:hAnsi="Times New Roman"/>
          <w:sz w:val="16"/>
        </w:rPr>
        <w:t>[11] D. R. Thomson, D. R. Leasure, T. Bird et al., “How accurate are WorldPop-Global-Unconstrained gridded population data at the cell-level?: A simulation analysis in urban Namibia,” PLOS ONE, vol. 17, Art. no. e0271504, 2022, doi: 10.1371/journal.pone.0271504.</w:t>
      </w:r>
    </w:p>
    <w:p>
      <w:pPr>
        <w:spacing w:after="40" w:before="0" w:line="240" w:lineRule="auto"/>
        <w:ind w:firstLine="0"/>
        <w:jc w:val="both"/>
      </w:pPr>
      <w:r>
        <w:rPr>
          <w:rFonts w:ascii="Times New Roman" w:hAnsi="Times New Roman"/>
          <w:sz w:val="16"/>
        </w:rPr>
        <w:t>[12] N. Metzger, J. E. Vargas-Muñoz, R. C. Daudt et al., “Fine-grained population mapping from coarse census counts and open geodata,” Scientific Reports, vol. 12, Art. no. 20085, 2022, doi: 10.1038/s41598-022-24495-w.</w:t>
      </w:r>
    </w:p>
    <w:p>
      <w:pPr>
        <w:spacing w:after="40" w:before="0" w:line="240" w:lineRule="auto"/>
        <w:ind w:firstLine="0"/>
        <w:jc w:val="both"/>
      </w:pPr>
      <w:r>
        <w:rPr>
          <w:rFonts w:ascii="Times New Roman" w:hAnsi="Times New Roman"/>
          <w:sz w:val="16"/>
        </w:rPr>
        <w:t>[13] M. Schiavina, S. Freire, A. Carioli, and K. MacManus, “GHS-POP R2023A—GHS population grid multitemporal (1975–2030),” European Commission, Joint Research Centre, dataset, 2023, doi: 10.2905/2FF68A52-5B5B-4A22-8F40-C41DA8332CFE.</w:t>
      </w:r>
    </w:p>
    <w:p>
      <w:pPr>
        <w:spacing w:after="40" w:before="0" w:line="240" w:lineRule="auto"/>
        <w:ind w:firstLine="0"/>
        <w:jc w:val="both"/>
      </w:pPr>
      <w:r>
        <w:rPr>
          <w:rFonts w:ascii="Times New Roman" w:hAnsi="Times New Roman"/>
          <w:sz w:val="16"/>
        </w:rPr>
        <w:t>[14] M. Schiavina, M. Melchiorri, and M. Pesaresi, “GHS-SMOD R2023A—GHS settlement layers, application of the Degree of Urbanisation methodology,” European Commission, Joint Research Centre, dataset, 2023, doi: 10.2905/A0DF7A6F-49DE-46EA-9BDE-563437A6E2BA.</w:t>
      </w:r>
    </w:p>
    <w:p>
      <w:pPr>
        <w:spacing w:after="40" w:before="0" w:line="240" w:lineRule="auto"/>
        <w:ind w:firstLine="0"/>
        <w:jc w:val="both"/>
      </w:pPr>
      <w:r>
        <w:rPr>
          <w:rFonts w:ascii="Times New Roman" w:hAnsi="Times New Roman"/>
          <w:sz w:val="16"/>
        </w:rPr>
        <w:t>[15] European Commission, Joint Research Centre, GHSL Data Package 2023, Public Release GHS P2023, updated edition. Publications Office of the European Union, 2024, doi: 10.2760/098587.</w:t>
      </w:r>
    </w:p>
    <w:p>
      <w:pPr>
        <w:spacing w:after="40" w:before="0" w:line="240" w:lineRule="auto"/>
        <w:ind w:firstLine="0"/>
        <w:jc w:val="both"/>
      </w:pPr>
      <w:r>
        <w:rPr>
          <w:rFonts w:ascii="Times New Roman" w:hAnsi="Times New Roman"/>
          <w:sz w:val="16"/>
        </w:rPr>
        <w:t>[16] European Commission et al., Applying the Degree of Urbanisation—A Methodological Manual to Define Cities, Towns and Rural Areas for International Comparisons. Publications Office of the European Union, 2021, doi: 10.2785/706535.</w:t>
      </w:r>
    </w:p>
    <w:p>
      <w:pPr>
        <w:spacing w:after="40" w:before="0" w:line="240" w:lineRule="auto"/>
        <w:ind w:firstLine="0"/>
        <w:jc w:val="both"/>
      </w:pPr>
      <w:r>
        <w:rPr>
          <w:rFonts w:ascii="Times New Roman" w:hAnsi="Times New Roman"/>
          <w:sz w:val="16"/>
        </w:rPr>
        <w:t>[17] L. Dijkstra, A. J. Florczyk, S. Freire et al., “Applying the Degree of Urbanisation to the globe: A new harmonised definition reveals a different picture of global urbanisation,” Journal of Urban Economics, vol. 125, Art. no. 103312, 2021, doi: 10.1016/j.jue.2020.103312.</w:t>
      </w:r>
    </w:p>
    <w:p>
      <w:pPr>
        <w:spacing w:after="40" w:before="0" w:line="240" w:lineRule="auto"/>
        <w:ind w:firstLine="0"/>
        <w:jc w:val="both"/>
      </w:pPr>
      <w:r>
        <w:rPr>
          <w:rFonts w:ascii="Times New Roman" w:hAnsi="Times New Roman"/>
          <w:sz w:val="16"/>
        </w:rPr>
        <w:t>[18] European Commission, Joint Research Centre, Applying the Degree of Urbanisation Method to National Population and Housing Census with GHSL Tools, JRC124765, 2021, doi: 10.2760/939289.</w:t>
      </w:r>
    </w:p>
    <w:p>
      <w:pPr>
        <w:spacing w:after="40" w:before="0" w:line="240" w:lineRule="auto"/>
        <w:ind w:firstLine="0"/>
        <w:jc w:val="both"/>
      </w:pPr>
      <w:r>
        <w:rPr>
          <w:rFonts w:ascii="Times New Roman" w:hAnsi="Times New Roman"/>
          <w:sz w:val="16"/>
        </w:rPr>
        <w:t>[19] OpenStreetMap contributors and Humanitarian OpenStreetMap Team, “Democratic Republic of the Congo roads export,” snapshot 5 Oct. 2026, ODbL 1.0. [Online]. Available: https://production-raw-data-api.s3.amazonaws.com/ISO3/COD/roads/hotosm_cod_roads_osm_gpkg.zip</w:t>
      </w:r>
    </w:p>
    <w:p>
      <w:pPr>
        <w:spacing w:after="40" w:before="0" w:line="240" w:lineRule="auto"/>
        <w:ind w:firstLine="0"/>
        <w:jc w:val="both"/>
      </w:pPr>
      <w:r>
        <w:rPr>
          <w:rFonts w:ascii="Times New Roman" w:hAnsi="Times New Roman"/>
          <w:sz w:val="16"/>
        </w:rPr>
        <w:t>[20] B. Herfort, S. Lautenbach, J. Porto de Albuquerque et al., “The evolution of humanitarian mapping within the OpenStreetMap community,” Scientific Reports, vol. 11, Art. no. 3037, 2021, doi: 10.1038/s41598-021-82404-z.</w:t>
      </w:r>
    </w:p>
    <w:p>
      <w:pPr>
        <w:spacing w:after="40" w:before="0" w:line="240" w:lineRule="auto"/>
        <w:ind w:firstLine="0"/>
        <w:jc w:val="both"/>
      </w:pPr>
      <w:r>
        <w:rPr>
          <w:rFonts w:ascii="Times New Roman" w:hAnsi="Times New Roman"/>
          <w:sz w:val="16"/>
        </w:rPr>
        <w:t>[21] B. Herfort, S. Lautenbach, J. Porto de Albuquerque et al., “A spatio-temporal analysis investigating completeness and inequalities of global urban building data in OpenStreetMap,” Nature Communications, vol. 14, Art. no. 3985, 2023, doi: 10.1038/s41467-023-39698-6.</w:t>
      </w:r>
    </w:p>
    <w:p>
      <w:pPr>
        <w:spacing w:after="40" w:before="0" w:line="240" w:lineRule="auto"/>
        <w:ind w:firstLine="0"/>
        <w:jc w:val="both"/>
      </w:pPr>
      <w:r>
        <w:rPr>
          <w:rFonts w:ascii="Times New Roman" w:hAnsi="Times New Roman"/>
          <w:sz w:val="16"/>
        </w:rPr>
        <w:t>[22] G. Boeing, “Street Network Models and Indicators for Every Urban Area in the World,” Geographical Analysis, vol. 54, pp. 519-535, 2022, doi: 10.1111/gean.12281.</w:t>
      </w:r>
    </w:p>
    <w:p>
      <w:pPr>
        <w:spacing w:after="40" w:before="0" w:line="240" w:lineRule="auto"/>
        <w:ind w:firstLine="0"/>
        <w:jc w:val="both"/>
      </w:pPr>
      <w:r>
        <w:rPr>
          <w:rFonts w:ascii="Times New Roman" w:hAnsi="Times New Roman"/>
          <w:sz w:val="16"/>
        </w:rPr>
        <w:t>[23] M. T. Hoffmann, K. Ostapowicz, K. Bartoń et al., “Mapping roadless areas in regions with contrasting human footprint,” Scientific Reports, vol. 14, Art. no. 4722, 2024, doi: 10.1038/s41598-024-55283-3.</w:t>
      </w:r>
    </w:p>
    <w:p>
      <w:pPr>
        <w:spacing w:after="40" w:before="0" w:line="240" w:lineRule="auto"/>
        <w:ind w:firstLine="0"/>
        <w:jc w:val="both"/>
      </w:pPr>
      <w:r>
        <w:rPr>
          <w:rFonts w:ascii="Times New Roman" w:hAnsi="Times New Roman"/>
          <w:sz w:val="16"/>
        </w:rPr>
        <w:t>[24] D. Zanaga et al., “ESA WorldCover 10 m 2021 v200,” dataset, 2022, doi: 10.5281/zenodo.7254221.</w:t>
      </w:r>
    </w:p>
    <w:p>
      <w:pPr>
        <w:spacing w:after="40" w:before="0" w:line="240" w:lineRule="auto"/>
        <w:ind w:firstLine="0"/>
        <w:jc w:val="both"/>
      </w:pPr>
      <w:r>
        <w:rPr>
          <w:rFonts w:ascii="Times New Roman" w:hAnsi="Times New Roman"/>
          <w:sz w:val="16"/>
        </w:rPr>
        <w:t>[25] S. Razavi et al., “The future of sensitivity analysis: An essential discipline for systems modeling and policy support,” Environmental Modelling &amp; Software, vol. 137, Art. no. 104954, 2021, doi: 10.1016/j.envsoft.2020.104954.</w:t>
      </w:r>
    </w:p>
    <w:p>
      <w:pPr>
        <w:spacing w:after="40" w:before="0" w:line="240" w:lineRule="auto"/>
        <w:ind w:firstLine="0"/>
        <w:jc w:val="both"/>
      </w:pPr>
      <w:r>
        <w:rPr>
          <w:rFonts w:ascii="Times New Roman" w:hAnsi="Times New Roman"/>
          <w:sz w:val="16"/>
        </w:rPr>
        <w:t>[26] A. Saltelli et al., “Five ways to ensure that models serve society: A manifesto,” Nature, vol. 582, pp. 482–484, 2020, doi: 10.1038/d41586-020-01812-9.</w:t>
      </w:r>
    </w:p>
    <w:p>
      <w:pPr>
        <w:spacing w:after="40" w:before="0" w:line="240" w:lineRule="auto"/>
        <w:ind w:firstLine="0"/>
        <w:jc w:val="both"/>
      </w:pPr>
      <w:r>
        <w:rPr>
          <w:rFonts w:ascii="Times New Roman" w:hAnsi="Times New Roman"/>
          <w:sz w:val="16"/>
        </w:rPr>
        <w:t>[27] A. Puy, S. Lo Piano, A. Saltelli, and S. A. Levin, “sensobol: An R package to compute variance-based sensitivity indices,” Journal of Statistical Software, vol. 102, no. 5, pp. 1–37, 2022, doi: 10.18637/jss.v102.i05.</w:t>
      </w:r>
    </w:p>
    <w:p>
      <w:pPr>
        <w:spacing w:after="40" w:before="0" w:line="240" w:lineRule="auto"/>
        <w:ind w:firstLine="0"/>
        <w:jc w:val="both"/>
      </w:pPr>
      <w:r>
        <w:rPr>
          <w:rFonts w:ascii="Times New Roman" w:hAnsi="Times New Roman"/>
          <w:sz w:val="16"/>
        </w:rPr>
        <w:t>[28] I. M. Sobol’, “Global sensitivity indices for nonlinear mathematical models and their Monte Carlo estimates,” Mathematics and Computers in Simulation, vol. 55, nos. 1–3, pp. 271–280, 2001.</w:t>
      </w:r>
    </w:p>
    <w:p>
      <w:pPr>
        <w:spacing w:after="40" w:before="0" w:line="240" w:lineRule="auto"/>
        <w:ind w:firstLine="0"/>
        <w:jc w:val="both"/>
      </w:pPr>
      <w:r>
        <w:rPr>
          <w:rFonts w:ascii="Times New Roman" w:hAnsi="Times New Roman"/>
          <w:sz w:val="16"/>
        </w:rPr>
        <w:t>[29] C. R. Harris et al., “Array programming with NumPy,” Nature, vol. 585, pp. 357–362, 2020, doi: 10.1038/s41586-020-2649-2.</w:t>
      </w:r>
    </w:p>
    <w:p>
      <w:pPr>
        <w:spacing w:after="40" w:before="0" w:line="240" w:lineRule="auto"/>
        <w:ind w:firstLine="0"/>
        <w:jc w:val="both"/>
      </w:pPr>
      <w:r>
        <w:rPr>
          <w:rFonts w:ascii="Times New Roman" w:hAnsi="Times New Roman"/>
          <w:sz w:val="16"/>
        </w:rPr>
        <w:t>[30] P. Virtanen et al., “SciPy 1.0: Fundamental algorithms for scientific computing in Python,” Nature Methods, vol. 17, pp. 261–272, 2020, doi: 10.1038/s41592-019-0686-2.</w:t>
      </w:r>
    </w:p>
    <w:p>
      <w:pPr>
        <w:spacing w:after="40" w:before="0" w:line="240" w:lineRule="auto"/>
        <w:ind w:firstLine="0"/>
        <w:jc w:val="both"/>
      </w:pPr>
      <w:r>
        <w:rPr>
          <w:rFonts w:ascii="Times New Roman" w:hAnsi="Times New Roman"/>
          <w:sz w:val="16"/>
        </w:rPr>
        <w:t>[31] UN-Habitat, World Cities Report 2022: Envisaging the Future of Cities. Nairobi, Kenya, 2022.</w:t>
      </w:r>
    </w:p>
    <w:p>
      <w:pPr>
        <w:spacing w:after="40" w:before="0" w:line="240" w:lineRule="auto"/>
        <w:ind w:firstLine="0"/>
        <w:jc w:val="both"/>
      </w:pPr>
      <w:r>
        <w:rPr>
          <w:rFonts w:ascii="Times New Roman" w:hAnsi="Times New Roman"/>
          <w:sz w:val="16"/>
        </w:rPr>
        <w:t>[32] Japan International Cooperation Agency, The Project for Urban Transport Master Plan in Kinshasa City (PDTK), Final Report, vol. 1, part 1, Apr. 2019. [Online]. Available: https://openjicareport.jica.go.jp/pdf/12340295_01.pdf.</w:t>
      </w:r>
    </w:p>
    <w:p>
      <w:r>
        <w:rPr>
          <w:rFonts w:ascii="Times New Roman" w:hAnsi="Times New Roman"/>
          <w:sz w:val="16"/>
        </w:rPr>
        <w:t>[33] B. Slagter et al., “Forest roads (Congo Basin),” ver. 1.04, Zenodo, doi: 10.5281/zenodo.20201702. Dataset file: forestroads_afr_2019-01_2025-12.zip. Accessed: 7 Oct. 2026.</w:t>
      </w:r>
    </w:p>
    <w:p>
      <w:r>
        <w:rPr>
          <w:rFonts w:ascii="Times New Roman" w:hAnsi="Times New Roman"/>
          <w:sz w:val="16"/>
        </w:rPr>
        <w:t>[34] B. Slagter et al., “Monitoring road development in Congo Basin forests with multi-sensor satellite imagery and deep learning,” Remote Sensing of Environment, vol. 315, art. 114380, 2024, doi: 10.1016/j.rse.2024.114380.</w:t>
      </w:r>
    </w:p>
    <w:p>
      <w:r>
        <w:rPr>
          <w:rFonts w:ascii="Times New Roman" w:hAnsi="Times New Roman"/>
          <w:sz w:val="16"/>
        </w:rPr>
        <w:t>[35] World Bank, “Congo, Dem. Rep. Roads,” AICD/Tecsult road inventory and documentation. [Online]. Available: https://datacatalog.worldbank.org/search/dataset/0040251/congo-dem-rep-roads. Accessed: 7 Oct. 2026.</w:t>
      </w:r>
    </w:p>
    <w:p>
      <w:pPr>
        <w:spacing w:after="40" w:before="0" w:line="240" w:lineRule="auto"/>
        <w:ind w:firstLine="0"/>
        <w:jc w:val="both"/>
      </w:pPr>
      <w:r>
        <w:rPr>
          <w:rFonts w:ascii="Times New Roman" w:hAnsi="Times New Roman"/>
          <w:sz w:val="16"/>
        </w:rPr>
        <w:t>[36] UNEP-WCMC and IUCN, “Protected Planet: World Database on Protected and Conserved Areas (WDPCA), protected-area view,” Oct. 2026. [Online]. Available: https://www.protectedplanet.net/. Accessed: 7 Oct. 2026.</w:t>
      </w:r>
    </w:p>
    <w:p>
      <w:pPr>
        <w:ind w:firstLine="0"/>
      </w:pPr>
      <w:r>
        <w:rPr>
          <w:sz w:val="16"/>
        </w:rPr>
        <w:t>[37] Logistics Cluster, “Democratic Republic of Congo: Distances—Roads &amp; Waterways,” 6 Sep. 2018, map/table CODDISTCAPITTOMAJORTOWN4L. [Online]. Available: https://logcluster.org/sites/default/files/public/maps/coddistcapittomajortown4l_20180906.pdf. Accessed: 8 Oct. 2026.</w:t>
      </w:r>
    </w:p>
    <w:p>
      <w:pPr>
        <w:ind w:firstLine="0"/>
      </w:pPr>
      <w:r>
        <w:rPr>
          <w:sz w:val="16"/>
        </w:rPr>
        <w:t>[38] Logistics Cluster, “RDC—Territoires de Kwamouth, Bagata, Kenge et Bandundu: contraintes d’accès physiques et logistiques,” 18 Apr. 2024. Available: https://logcluster.org/sites/default/files/public/2024-04/codaccessconstraintcrisekwamouthmaindombea3l_20240418.pdf. Accessed: 8 Oct. 2026.</w:t>
      </w:r>
    </w:p>
    <w:p>
      <w:pPr>
        <w:ind w:firstLine="0"/>
      </w:pPr>
      <w:r>
        <w:rPr>
          <w:sz w:val="16"/>
        </w:rPr>
        <w:t>[39] OpenStreetMap contributors, “Bac Bandundu ferry geometry,” ways 49809124, 980566897 and 980566898, retrieved via Overpass on 8 Oct. 2026, ODbL 1.0. Available: https://www.openstreetmap.org/way/49809124.</w:t>
      </w:r>
    </w:p>
    <w:p>
      <w:pPr>
        <w:ind w:firstLine="0"/>
      </w:pPr>
      <w:r>
        <w:rPr>
          <w:sz w:val="16"/>
        </w:rPr>
        <w:t>[40] D. Diakoulaki, G. Mavrotas, and L. Papayannakis, “Determining objective weights in multiple criteria problems: The CRITIC method,” Computers &amp; Operations Research, vol. 22, no. 7, pp. 763–770, 1995, doi: 10.1016/0305-0548(94)00059-H.</w:t>
      </w:r>
    </w:p>
    <w:p>
      <w:pPr/>
    </w:p>
    <w:p>
      <w:pPr>
        <w:ind w:firstLine="0"/>
      </w:pPr>
      <w:r>
        <w:rPr>
          <w:rFonts w:ascii="Times New Roman" w:hAnsi="Times New Roman"/>
          <w:sz w:val="16"/>
        </w:rPr>
        <w:t>[41] UN-Habitat, Urban-Rural Linkages: Guiding Principles and Framework for Action to Advance Integrated Territorial Development. Nairobi, 2019. Available: https://unhabitat.org/urban-rural-linkages-guiding-principles.</w:t>
      </w:r>
    </w:p>
    <w:p>
      <w:pPr>
        <w:ind w:firstLine="0"/>
      </w:pPr>
      <w:r>
        <w:rPr>
          <w:rFonts w:ascii="Times New Roman" w:hAnsi="Times New Roman"/>
          <w:sz w:val="16"/>
        </w:rPr>
        <w:t>[42] M. Brezzi and P. Veneri, “Assessing Polycentric Urban Systems in the OECD: Country, Regional and Metropolitan Perspectives,” OECD Regional Development Working Papers, No. 2014/01, 2014, doi: 10.1787/5jz5mpdkmvnr-en.</w:t>
      </w:r>
    </w:p>
    <w:p>
      <w:pPr>
        <w:spacing w:after="60"/>
      </w:pPr>
      <w:r>
        <w:rPr>
          <w:rFonts w:ascii="Times New Roman" w:hAnsi="Times New Roman"/>
          <w:sz w:val="16"/>
        </w:rPr>
        <w:t>[43] World Bank Group, “Democratic Republic Congo (COD)—Transmission Network (2018),” DRC EASE high-voltage mapping, catalogue release year 2021, CC BY 4.0. [Online]. Available: https://energydata.info/en/dataset/democratic-republic-congo-cod-transmission-network-2018. File COD_HV_Network_2018 downloaded: 9 Oct. 2026.</w:t>
      </w:r>
    </w:p>
    <w:p>
      <w:pPr>
        <w:spacing w:after="60"/>
      </w:pPr>
      <w:r>
        <w:rPr>
          <w:rFonts w:ascii="Times New Roman" w:hAnsi="Times New Roman"/>
          <w:sz w:val="16"/>
        </w:rPr>
        <w:t>[44] World Bank Group, Enterprise Surveys: Congo, Dem. Rep. 2024, country profile, appendix, PDF p. 11. [Online]. Available: https://www.enterprisesurveys.org/content/dam/enterprisesurveys/documents/country/Congo-Dem-Rep-2024.pdf. Verified online: 9 Oct. 2026.</w:t>
      </w:r>
    </w:p>
    <w:p>
      <w:pPr>
        <w:spacing w:after="60"/>
      </w:pPr>
      <w:r>
        <w:rPr>
          <w:rFonts w:ascii="Times New Roman" w:hAnsi="Times New Roman"/>
          <w:sz w:val="16"/>
        </w:rPr>
        <w:t>[45] World Bank Group, “Congo, Dem. Rep.—World Bank Enterprise Survey 2024,” Ref. COD_2024_WBES_v01_M, study description and sampling documentation. [Online]. Available: https://microdata.worldbank.org/index.php/catalog/6681/study-description. Accessed: 9 Oct. 2026.</w:t>
      </w:r>
    </w:p>
    <w:p>
      <w:pPr>
        <w:spacing w:after="60"/>
      </w:pPr>
      <w:r>
        <w:rPr>
          <w:rFonts w:ascii="Times New Roman" w:hAnsi="Times New Roman"/>
          <w:sz w:val="16"/>
        </w:rPr>
        <w:t>[46] Project OSRM contributors, “OSRM HTTP API documentation,” ver. 5.24.0, Route and Table services. [Online]. Available: https://project-osrm.org/docs/v5.24.0/api/. Accessed: 12 Oct. 2026.</w:t>
      </w:r>
    </w:p>
    <w:p>
      <w:pPr>
        <w:spacing w:after="60"/>
      </w:pPr>
      <w:r>
        <w:rPr>
          <w:rFonts w:ascii="Times New Roman" w:hAnsi="Times New Roman"/>
          <w:sz w:val="16"/>
        </w:rPr>
        <w:t>[47] DK Transport, “Nos trajets,” commercial route catalogue, Matadi–Boma and Kinshasa–Mbanza-Ngungu entries. [Online]. Available: https://kayou.app/trajets. Verified online: 12 Oct. 2026. Measurement method and route dates not stated.</w:t>
      </w:r>
    </w:p>
    <w:p>
      <w:pPr>
        <w:sectPr>
          <w:type w:val="continuous"/>
          <w:pgSz w:w="11906" w:h="16838"/>
          <w:pgMar w:top="1077" w:right="812" w:bottom="1587" w:left="812" w:header="720" w:footer="720" w:gutter="0"/>
          <w:cols w:space="482" w:num="2" w:equalWidth="1"/>
          <w:docGrid w:linePitch="360"/>
        </w:sectPr>
      </w:pPr>
    </w:p>
    <w:sectPr w:rsidR="00FC693F" w:rsidRPr="0006063C" w:rsidSect="00034616">
      <w:type w:val="continuous"/>
      <w:pgSz w:w="11906" w:h="16838"/>
      <w:pgMar w:top="1077" w:right="812" w:bottom="1587" w:left="812" w:header="720" w:footer="720" w:gutter="0"/>
      <w:cols w:space="482"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ind w:firstLine="17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b w:val="0"/>
      <w:bCs/>
      <w:small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PAMBOLO MAYAMBO Néhémie</dc:creator>
  <cp:keywords/>
  <dc:description>generated by python-docx</dc:description>
  <cp:lastModifiedBy/>
  <cp:revision>1</cp:revision>
  <dcterms:created xsi:type="dcterms:W3CDTF">2013-12-23T23:15:00Z</dcterms:created>
  <dcterms:modified xsi:type="dcterms:W3CDTF">2013-12-23T23:15:00Z</dcterms:modified>
  <cp:category/>
</cp:coreProperties>
</file>