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DCCB" w14:textId="13D92847" w:rsidR="00895CDB" w:rsidRPr="008D6958" w:rsidRDefault="00895CDB" w:rsidP="00861A50">
      <w:pPr>
        <w:rPr>
          <w:rFonts w:ascii="Aptos" w:hAnsi="Aptos"/>
          <w:b/>
          <w:bCs/>
          <w:color w:val="153D63" w:themeColor="text2" w:themeTint="E6"/>
          <w:sz w:val="32"/>
          <w:szCs w:val="32"/>
        </w:rPr>
      </w:pPr>
      <w:r w:rsidRPr="008D6958">
        <w:rPr>
          <w:rFonts w:ascii="Aptos" w:hAnsi="Aptos"/>
          <w:b/>
          <w:bCs/>
          <w:color w:val="153D63" w:themeColor="text2" w:themeTint="E6"/>
          <w:sz w:val="32"/>
          <w:szCs w:val="32"/>
        </w:rPr>
        <w:t xml:space="preserve">Field </w:t>
      </w:r>
      <w:r w:rsidRPr="008D6958">
        <w:rPr>
          <w:rFonts w:ascii="Aptos" w:hAnsi="Aptos"/>
          <w:b/>
          <w:bCs/>
          <w:color w:val="153D63" w:themeColor="text2" w:themeTint="E6"/>
          <w:sz w:val="32"/>
          <w:szCs w:val="32"/>
        </w:rPr>
        <w:t>Guide: ICU Mortality Risk Prediction</w:t>
      </w:r>
    </w:p>
    <w:p w14:paraId="0EF5D1E3" w14:textId="77777777" w:rsidR="00861A50" w:rsidRPr="008D6958" w:rsidRDefault="00861A50" w:rsidP="00861A50">
      <w:pPr>
        <w:rPr>
          <w:rFonts w:ascii="Aptos" w:hAnsi="Aptos"/>
          <w:color w:val="153D63" w:themeColor="text2" w:themeTint="E6"/>
          <w:sz w:val="32"/>
          <w:szCs w:val="32"/>
        </w:rPr>
      </w:pPr>
    </w:p>
    <w:p w14:paraId="62097EB9" w14:textId="756FA965"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What This Tool Does</w:t>
      </w:r>
      <w:r w:rsidRPr="008D6958">
        <w:rPr>
          <w:rFonts w:ascii="Aptos" w:hAnsi="Aptos"/>
          <w:b/>
          <w:bCs/>
          <w:color w:val="153D63" w:themeColor="text2" w:themeTint="E6"/>
        </w:rPr>
        <w:t>?</w:t>
      </w:r>
    </w:p>
    <w:p w14:paraId="214F706D" w14:textId="77777777" w:rsidR="00895CDB" w:rsidRDefault="00895CDB" w:rsidP="00861A50">
      <w:pPr>
        <w:rPr>
          <w:rFonts w:ascii="Aptos" w:hAnsi="Aptos"/>
        </w:rPr>
      </w:pPr>
      <w:r w:rsidRPr="00861A50">
        <w:rPr>
          <w:rFonts w:ascii="Aptos" w:hAnsi="Aptos"/>
        </w:rPr>
        <w:t>This tool uses routinely collected ICU data to estimate a patient’s risk of death during the admission. It outputs a mortality risk score to help nurses and physicians identify patients who may need closer monitoring, earlier escalation, or a more careful clinical review. It is a support tool only and does not replace clinical judgment.</w:t>
      </w:r>
    </w:p>
    <w:p w14:paraId="16536430" w14:textId="77777777" w:rsidR="00861A50" w:rsidRPr="00861A50" w:rsidRDefault="00861A50" w:rsidP="00861A50">
      <w:pPr>
        <w:rPr>
          <w:rFonts w:ascii="Aptos" w:hAnsi="Aptos"/>
        </w:rPr>
      </w:pPr>
    </w:p>
    <w:p w14:paraId="7F98CAAE" w14:textId="3575100E"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When to Use / When Not to Use</w:t>
      </w:r>
      <w:r w:rsidR="00861A50" w:rsidRPr="008D6958">
        <w:rPr>
          <w:rFonts w:ascii="Aptos" w:hAnsi="Aptos"/>
          <w:b/>
          <w:bCs/>
          <w:color w:val="153D63" w:themeColor="text2" w:themeTint="E6"/>
        </w:rPr>
        <w:t>?</w:t>
      </w:r>
    </w:p>
    <w:p w14:paraId="23A4612F" w14:textId="77777777" w:rsidR="00895CDB" w:rsidRPr="008D6958" w:rsidRDefault="00895CDB" w:rsidP="00861A50">
      <w:pPr>
        <w:rPr>
          <w:rFonts w:ascii="Aptos" w:hAnsi="Aptos"/>
          <w:color w:val="153D63" w:themeColor="text2" w:themeTint="E6"/>
        </w:rPr>
      </w:pPr>
      <w:r w:rsidRPr="008D6958">
        <w:rPr>
          <w:rFonts w:ascii="Aptos" w:hAnsi="Aptos"/>
          <w:color w:val="153D63" w:themeColor="text2" w:themeTint="E6"/>
        </w:rPr>
        <w:t>Use when:</w:t>
      </w:r>
    </w:p>
    <w:p w14:paraId="7431182B" w14:textId="77777777" w:rsidR="00895CDB" w:rsidRPr="00861A50" w:rsidRDefault="00895CDB" w:rsidP="00861A50">
      <w:pPr>
        <w:pStyle w:val="ListParagraph"/>
        <w:numPr>
          <w:ilvl w:val="0"/>
          <w:numId w:val="6"/>
        </w:numPr>
        <w:rPr>
          <w:rFonts w:ascii="Aptos" w:hAnsi="Aptos"/>
        </w:rPr>
      </w:pPr>
      <w:r w:rsidRPr="00861A50">
        <w:rPr>
          <w:rFonts w:ascii="Aptos" w:hAnsi="Aptos"/>
        </w:rPr>
        <w:t>Routine ICU clinical data are available.</w:t>
      </w:r>
    </w:p>
    <w:p w14:paraId="1A79307F" w14:textId="77777777" w:rsidR="00895CDB" w:rsidRPr="00861A50" w:rsidRDefault="00895CDB" w:rsidP="00861A50">
      <w:pPr>
        <w:pStyle w:val="ListParagraph"/>
        <w:numPr>
          <w:ilvl w:val="0"/>
          <w:numId w:val="6"/>
        </w:numPr>
        <w:rPr>
          <w:rFonts w:ascii="Aptos" w:hAnsi="Aptos"/>
        </w:rPr>
      </w:pPr>
      <w:r w:rsidRPr="00861A50">
        <w:rPr>
          <w:rFonts w:ascii="Aptos" w:hAnsi="Aptos"/>
        </w:rPr>
        <w:t>The team wants added risk awareness during admission review, rounds, handoff, or escalation discussions.</w:t>
      </w:r>
    </w:p>
    <w:p w14:paraId="364629D1" w14:textId="77777777" w:rsidR="00895CDB" w:rsidRPr="00861A50" w:rsidRDefault="00895CDB" w:rsidP="00861A50">
      <w:pPr>
        <w:pStyle w:val="ListParagraph"/>
        <w:numPr>
          <w:ilvl w:val="0"/>
          <w:numId w:val="6"/>
        </w:numPr>
        <w:rPr>
          <w:rFonts w:ascii="Aptos" w:hAnsi="Aptos"/>
        </w:rPr>
      </w:pPr>
      <w:r w:rsidRPr="00861A50">
        <w:rPr>
          <w:rFonts w:ascii="Aptos" w:hAnsi="Aptos"/>
        </w:rPr>
        <w:t>The score is being interpreted together with bedside assessment, labs, imaging, and overall clinical trajectory.</w:t>
      </w:r>
    </w:p>
    <w:p w14:paraId="3CBEFAD0" w14:textId="77777777" w:rsidR="00895CDB" w:rsidRPr="008D6958" w:rsidRDefault="00895CDB" w:rsidP="00861A50">
      <w:pPr>
        <w:rPr>
          <w:rFonts w:ascii="Aptos" w:hAnsi="Aptos"/>
          <w:color w:val="153D63" w:themeColor="text2" w:themeTint="E6"/>
        </w:rPr>
      </w:pPr>
      <w:r w:rsidRPr="008D6958">
        <w:rPr>
          <w:rFonts w:ascii="Aptos" w:hAnsi="Aptos"/>
          <w:color w:val="153D63" w:themeColor="text2" w:themeTint="E6"/>
        </w:rPr>
        <w:t>Do not use when:</w:t>
      </w:r>
    </w:p>
    <w:p w14:paraId="05A8C6C5" w14:textId="77777777" w:rsidR="00895CDB" w:rsidRPr="00861A50" w:rsidRDefault="00895CDB" w:rsidP="00861A50">
      <w:pPr>
        <w:pStyle w:val="ListParagraph"/>
        <w:numPr>
          <w:ilvl w:val="0"/>
          <w:numId w:val="7"/>
        </w:numPr>
        <w:rPr>
          <w:rFonts w:ascii="Aptos" w:hAnsi="Aptos"/>
        </w:rPr>
      </w:pPr>
      <w:r w:rsidRPr="00861A50">
        <w:rPr>
          <w:rFonts w:ascii="Aptos" w:hAnsi="Aptos"/>
        </w:rPr>
        <w:t>It would be the only basis for a treatment decision.</w:t>
      </w:r>
    </w:p>
    <w:p w14:paraId="36DE38CD" w14:textId="77777777" w:rsidR="00895CDB" w:rsidRPr="00861A50" w:rsidRDefault="00895CDB" w:rsidP="00861A50">
      <w:pPr>
        <w:pStyle w:val="ListParagraph"/>
        <w:numPr>
          <w:ilvl w:val="0"/>
          <w:numId w:val="7"/>
        </w:numPr>
        <w:rPr>
          <w:rFonts w:ascii="Aptos" w:hAnsi="Aptos"/>
        </w:rPr>
      </w:pPr>
      <w:r w:rsidRPr="00861A50">
        <w:rPr>
          <w:rFonts w:ascii="Aptos" w:hAnsi="Aptos"/>
        </w:rPr>
        <w:t>Key data are missing, outdated, or clearly incorrect.</w:t>
      </w:r>
    </w:p>
    <w:p w14:paraId="0635E406" w14:textId="77777777" w:rsidR="00895CDB" w:rsidRPr="00861A50" w:rsidRDefault="00895CDB" w:rsidP="00861A50">
      <w:pPr>
        <w:pStyle w:val="ListParagraph"/>
        <w:numPr>
          <w:ilvl w:val="0"/>
          <w:numId w:val="7"/>
        </w:numPr>
        <w:rPr>
          <w:rFonts w:ascii="Aptos" w:hAnsi="Aptos"/>
        </w:rPr>
      </w:pPr>
      <w:r w:rsidRPr="00861A50">
        <w:rPr>
          <w:rFonts w:ascii="Aptos" w:hAnsi="Aptos"/>
        </w:rPr>
        <w:t>The patient is outside the population the tool was developed on, unless further validation is available.</w:t>
      </w:r>
    </w:p>
    <w:p w14:paraId="5C795B99" w14:textId="77777777" w:rsidR="00895CDB" w:rsidRDefault="00895CDB" w:rsidP="00861A50">
      <w:pPr>
        <w:pStyle w:val="ListParagraph"/>
        <w:numPr>
          <w:ilvl w:val="0"/>
          <w:numId w:val="7"/>
        </w:numPr>
        <w:rPr>
          <w:rFonts w:ascii="Aptos" w:hAnsi="Aptos"/>
        </w:rPr>
      </w:pPr>
      <w:r w:rsidRPr="00861A50">
        <w:rPr>
          <w:rFonts w:ascii="Aptos" w:hAnsi="Aptos"/>
        </w:rPr>
        <w:t>The score would be used alone for limitation-of-care, goals-of-care, or end-of-life decisions.</w:t>
      </w:r>
    </w:p>
    <w:p w14:paraId="385FFCE4" w14:textId="77777777" w:rsidR="00861A50" w:rsidRPr="00861A50" w:rsidRDefault="00861A50" w:rsidP="00861A50">
      <w:pPr>
        <w:pStyle w:val="ListParagraph"/>
        <w:rPr>
          <w:rFonts w:ascii="Aptos" w:hAnsi="Aptos"/>
        </w:rPr>
      </w:pPr>
    </w:p>
    <w:p w14:paraId="1878761A" w14:textId="44C53195" w:rsidR="00861A50" w:rsidRDefault="00895CDB" w:rsidP="00861A50">
      <w:pPr>
        <w:rPr>
          <w:rFonts w:ascii="Aptos" w:hAnsi="Aptos"/>
          <w:b/>
          <w:bCs/>
          <w:color w:val="153D63" w:themeColor="text2" w:themeTint="E6"/>
        </w:rPr>
      </w:pPr>
      <w:r w:rsidRPr="008D6958">
        <w:rPr>
          <w:rFonts w:ascii="Aptos" w:hAnsi="Aptos"/>
          <w:b/>
          <w:bCs/>
          <w:color w:val="153D63" w:themeColor="text2" w:themeTint="E6"/>
        </w:rPr>
        <w:t>Performance Summary</w:t>
      </w:r>
    </w:p>
    <w:p w14:paraId="4560FDB6" w14:textId="073E409D" w:rsidR="00D024E0" w:rsidRPr="00D024E0" w:rsidRDefault="00D024E0" w:rsidP="00861A50">
      <w:pPr>
        <w:rPr>
          <w:rFonts w:ascii="Aptos" w:hAnsi="Aptos"/>
          <w:color w:val="000000" w:themeColor="text1"/>
        </w:rPr>
      </w:pPr>
      <w:r w:rsidRPr="00D024E0">
        <w:rPr>
          <w:rFonts w:ascii="Aptos" w:hAnsi="Aptos"/>
          <w:color w:val="000000" w:themeColor="text1"/>
        </w:rPr>
        <w:t>Table 1. Performance Summary</w:t>
      </w:r>
    </w:p>
    <w:tbl>
      <w:tblPr>
        <w:tblStyle w:val="GridTable1Light"/>
        <w:tblW w:w="9265" w:type="dxa"/>
        <w:tblLook w:val="04A0" w:firstRow="1" w:lastRow="0" w:firstColumn="1" w:lastColumn="0" w:noHBand="0" w:noVBand="1"/>
      </w:tblPr>
      <w:tblGrid>
        <w:gridCol w:w="1525"/>
        <w:gridCol w:w="3240"/>
        <w:gridCol w:w="4500"/>
      </w:tblGrid>
      <w:tr w:rsidR="008D6958" w:rsidRPr="00861A50" w14:paraId="2E38DD16" w14:textId="77777777" w:rsidTr="00114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shd w:val="clear" w:color="auto" w:fill="DAE9F7" w:themeFill="text2" w:themeFillTint="1A"/>
            <w:hideMark/>
          </w:tcPr>
          <w:p w14:paraId="5F2EFE21" w14:textId="77777777" w:rsidR="00895CDB" w:rsidRPr="00861A50" w:rsidRDefault="00895CDB" w:rsidP="00861A50">
            <w:pPr>
              <w:rPr>
                <w:rFonts w:ascii="Aptos" w:hAnsi="Aptos"/>
              </w:rPr>
            </w:pPr>
            <w:r w:rsidRPr="00861A50">
              <w:rPr>
                <w:rFonts w:ascii="Aptos" w:hAnsi="Aptos"/>
              </w:rPr>
              <w:t>Metric</w:t>
            </w:r>
          </w:p>
        </w:tc>
        <w:tc>
          <w:tcPr>
            <w:tcW w:w="3240" w:type="dxa"/>
            <w:shd w:val="clear" w:color="auto" w:fill="DAE9F7" w:themeFill="text2" w:themeFillTint="1A"/>
            <w:hideMark/>
          </w:tcPr>
          <w:p w14:paraId="28D81F04" w14:textId="77777777" w:rsidR="00895CDB" w:rsidRPr="00861A50" w:rsidRDefault="00895CDB" w:rsidP="00861A50">
            <w:pPr>
              <w:cnfStyle w:val="100000000000" w:firstRow="1" w:lastRow="0" w:firstColumn="0" w:lastColumn="0" w:oddVBand="0" w:evenVBand="0" w:oddHBand="0" w:evenHBand="0" w:firstRowFirstColumn="0" w:firstRowLastColumn="0" w:lastRowFirstColumn="0" w:lastRowLastColumn="0"/>
              <w:rPr>
                <w:rFonts w:ascii="Aptos" w:hAnsi="Aptos"/>
              </w:rPr>
            </w:pPr>
            <w:r w:rsidRPr="00861A50">
              <w:rPr>
                <w:rFonts w:ascii="Aptos" w:hAnsi="Aptos"/>
              </w:rPr>
              <w:t>Value</w:t>
            </w:r>
          </w:p>
        </w:tc>
        <w:tc>
          <w:tcPr>
            <w:tcW w:w="4500" w:type="dxa"/>
            <w:shd w:val="clear" w:color="auto" w:fill="DAE9F7" w:themeFill="text2" w:themeFillTint="1A"/>
            <w:hideMark/>
          </w:tcPr>
          <w:p w14:paraId="062AACEE" w14:textId="77777777" w:rsidR="00895CDB" w:rsidRPr="00861A50" w:rsidRDefault="00895CDB" w:rsidP="00861A50">
            <w:pPr>
              <w:cnfStyle w:val="100000000000" w:firstRow="1" w:lastRow="0" w:firstColumn="0" w:lastColumn="0" w:oddVBand="0" w:evenVBand="0" w:oddHBand="0" w:evenHBand="0" w:firstRowFirstColumn="0" w:firstRowLastColumn="0" w:lastRowFirstColumn="0" w:lastRowLastColumn="0"/>
              <w:rPr>
                <w:rFonts w:ascii="Aptos" w:hAnsi="Aptos"/>
              </w:rPr>
            </w:pPr>
            <w:r w:rsidRPr="00861A50">
              <w:rPr>
                <w:rFonts w:ascii="Aptos" w:hAnsi="Aptos"/>
              </w:rPr>
              <w:t>Clinical meaning</w:t>
            </w:r>
          </w:p>
        </w:tc>
      </w:tr>
      <w:tr w:rsidR="008D6958" w:rsidRPr="00861A50" w14:paraId="08D12123" w14:textId="77777777" w:rsidTr="008D6958">
        <w:tc>
          <w:tcPr>
            <w:cnfStyle w:val="001000000000" w:firstRow="0" w:lastRow="0" w:firstColumn="1" w:lastColumn="0" w:oddVBand="0" w:evenVBand="0" w:oddHBand="0" w:evenHBand="0" w:firstRowFirstColumn="0" w:firstRowLastColumn="0" w:lastRowFirstColumn="0" w:lastRowLastColumn="0"/>
            <w:tcW w:w="1525" w:type="dxa"/>
            <w:hideMark/>
          </w:tcPr>
          <w:p w14:paraId="5686586D" w14:textId="77777777" w:rsidR="00895CDB" w:rsidRPr="00861A50" w:rsidRDefault="00895CDB" w:rsidP="008D6958">
            <w:pPr>
              <w:spacing w:line="276" w:lineRule="auto"/>
              <w:rPr>
                <w:rFonts w:ascii="Aptos" w:hAnsi="Aptos"/>
              </w:rPr>
            </w:pPr>
            <w:r w:rsidRPr="00861A50">
              <w:rPr>
                <w:rFonts w:ascii="Aptos" w:eastAsiaTheme="majorEastAsia" w:hAnsi="Aptos"/>
              </w:rPr>
              <w:t>AUROC</w:t>
            </w:r>
          </w:p>
        </w:tc>
        <w:tc>
          <w:tcPr>
            <w:tcW w:w="3240" w:type="dxa"/>
            <w:hideMark/>
          </w:tcPr>
          <w:p w14:paraId="76CC5FF1" w14:textId="087EC5E7" w:rsidR="00861A50"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0.614 </w:t>
            </w:r>
            <w:r w:rsidR="00861A50">
              <w:rPr>
                <w:rFonts w:ascii="Aptos" w:hAnsi="Aptos"/>
              </w:rPr>
              <w:t>(</w:t>
            </w:r>
            <w:r w:rsidRPr="00861A50">
              <w:rPr>
                <w:rFonts w:ascii="Aptos" w:hAnsi="Aptos"/>
              </w:rPr>
              <w:t>Logistic Regression</w:t>
            </w:r>
            <w:proofErr w:type="gramStart"/>
            <w:r w:rsidR="00861A50">
              <w:rPr>
                <w:rFonts w:ascii="Aptos" w:hAnsi="Aptos"/>
              </w:rPr>
              <w:t>)</w:t>
            </w:r>
            <w:r w:rsidRPr="00861A50">
              <w:rPr>
                <w:rFonts w:ascii="Aptos" w:hAnsi="Aptos"/>
              </w:rPr>
              <w:t>;</w:t>
            </w:r>
            <w:proofErr w:type="gramEnd"/>
            <w:r w:rsidRPr="00861A50">
              <w:rPr>
                <w:rFonts w:ascii="Aptos" w:hAnsi="Aptos"/>
              </w:rPr>
              <w:t xml:space="preserve"> </w:t>
            </w:r>
          </w:p>
          <w:p w14:paraId="7AFB39B7" w14:textId="418A93E3"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0.617 </w:t>
            </w:r>
            <w:proofErr w:type="gramStart"/>
            <w:r w:rsidR="00861A50">
              <w:rPr>
                <w:rFonts w:ascii="Aptos" w:hAnsi="Aptos"/>
              </w:rPr>
              <w:t>(</w:t>
            </w:r>
            <w:r w:rsidRPr="00861A50">
              <w:rPr>
                <w:rFonts w:ascii="Aptos" w:hAnsi="Aptos"/>
              </w:rPr>
              <w:t xml:space="preserve"> </w:t>
            </w:r>
            <w:proofErr w:type="spellStart"/>
            <w:r w:rsidRPr="00861A50">
              <w:rPr>
                <w:rFonts w:ascii="Aptos" w:hAnsi="Aptos"/>
              </w:rPr>
              <w:t>XGBoost</w:t>
            </w:r>
            <w:proofErr w:type="spellEnd"/>
            <w:proofErr w:type="gramEnd"/>
            <w:r w:rsidR="00861A50">
              <w:rPr>
                <w:rFonts w:ascii="Aptos" w:hAnsi="Aptos"/>
              </w:rPr>
              <w:t>)</w:t>
            </w:r>
          </w:p>
        </w:tc>
        <w:tc>
          <w:tcPr>
            <w:tcW w:w="4500" w:type="dxa"/>
            <w:hideMark/>
          </w:tcPr>
          <w:p w14:paraId="12E225CF"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Modest ability to distinguish patients who died from those who survived</w:t>
            </w:r>
          </w:p>
        </w:tc>
      </w:tr>
      <w:tr w:rsidR="008D6958" w:rsidRPr="00861A50" w14:paraId="4B5C07DF" w14:textId="77777777" w:rsidTr="008D6958">
        <w:tc>
          <w:tcPr>
            <w:cnfStyle w:val="001000000000" w:firstRow="0" w:lastRow="0" w:firstColumn="1" w:lastColumn="0" w:oddVBand="0" w:evenVBand="0" w:oddHBand="0" w:evenHBand="0" w:firstRowFirstColumn="0" w:firstRowLastColumn="0" w:lastRowFirstColumn="0" w:lastRowLastColumn="0"/>
            <w:tcW w:w="1525" w:type="dxa"/>
            <w:hideMark/>
          </w:tcPr>
          <w:p w14:paraId="59F0F243" w14:textId="77777777" w:rsidR="00895CDB" w:rsidRPr="00861A50" w:rsidRDefault="00895CDB" w:rsidP="008D6958">
            <w:pPr>
              <w:spacing w:line="276" w:lineRule="auto"/>
              <w:rPr>
                <w:rFonts w:ascii="Aptos" w:hAnsi="Aptos"/>
              </w:rPr>
            </w:pPr>
            <w:r w:rsidRPr="00861A50">
              <w:rPr>
                <w:rFonts w:ascii="Aptos" w:eastAsiaTheme="majorEastAsia" w:hAnsi="Aptos"/>
              </w:rPr>
              <w:t>PR AUC</w:t>
            </w:r>
          </w:p>
        </w:tc>
        <w:tc>
          <w:tcPr>
            <w:tcW w:w="3240" w:type="dxa"/>
            <w:hideMark/>
          </w:tcPr>
          <w:p w14:paraId="6192B111" w14:textId="32D11909" w:rsid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0.318 </w:t>
            </w:r>
            <w:r w:rsidR="00861A50">
              <w:rPr>
                <w:rFonts w:ascii="Aptos" w:hAnsi="Aptos"/>
              </w:rPr>
              <w:t>(</w:t>
            </w:r>
            <w:r w:rsidRPr="00861A50">
              <w:rPr>
                <w:rFonts w:ascii="Aptos" w:hAnsi="Aptos"/>
              </w:rPr>
              <w:t>Logistic Regression</w:t>
            </w:r>
            <w:proofErr w:type="gramStart"/>
            <w:r w:rsidR="00861A50">
              <w:rPr>
                <w:rFonts w:ascii="Aptos" w:hAnsi="Aptos"/>
              </w:rPr>
              <w:t>)</w:t>
            </w:r>
            <w:r w:rsidRPr="00861A50">
              <w:rPr>
                <w:rFonts w:ascii="Aptos" w:hAnsi="Aptos"/>
              </w:rPr>
              <w:t>;</w:t>
            </w:r>
            <w:proofErr w:type="gramEnd"/>
            <w:r w:rsidRPr="00861A50">
              <w:rPr>
                <w:rFonts w:ascii="Aptos" w:hAnsi="Aptos"/>
              </w:rPr>
              <w:t xml:space="preserve"> </w:t>
            </w:r>
          </w:p>
          <w:p w14:paraId="0B8AD72C" w14:textId="7847A203"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0.304 </w:t>
            </w:r>
            <w:r w:rsidR="00861A50">
              <w:rPr>
                <w:rFonts w:ascii="Aptos" w:hAnsi="Aptos"/>
              </w:rPr>
              <w:t>(</w:t>
            </w:r>
            <w:proofErr w:type="spellStart"/>
            <w:r w:rsidRPr="00861A50">
              <w:rPr>
                <w:rFonts w:ascii="Aptos" w:hAnsi="Aptos"/>
              </w:rPr>
              <w:t>XGBoost</w:t>
            </w:r>
            <w:proofErr w:type="spellEnd"/>
            <w:r w:rsidR="00861A50">
              <w:rPr>
                <w:rFonts w:ascii="Aptos" w:hAnsi="Aptos"/>
              </w:rPr>
              <w:t>)</w:t>
            </w:r>
          </w:p>
        </w:tc>
        <w:tc>
          <w:tcPr>
            <w:tcW w:w="4500" w:type="dxa"/>
            <w:hideMark/>
          </w:tcPr>
          <w:p w14:paraId="686D7CDD"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Limited precision for identifying high-risk patients</w:t>
            </w:r>
          </w:p>
        </w:tc>
      </w:tr>
      <w:tr w:rsidR="008D6958" w:rsidRPr="00861A50" w14:paraId="0B869D47" w14:textId="77777777" w:rsidTr="008D6958">
        <w:tc>
          <w:tcPr>
            <w:cnfStyle w:val="001000000000" w:firstRow="0" w:lastRow="0" w:firstColumn="1" w:lastColumn="0" w:oddVBand="0" w:evenVBand="0" w:oddHBand="0" w:evenHBand="0" w:firstRowFirstColumn="0" w:firstRowLastColumn="0" w:lastRowFirstColumn="0" w:lastRowLastColumn="0"/>
            <w:tcW w:w="1525" w:type="dxa"/>
            <w:hideMark/>
          </w:tcPr>
          <w:p w14:paraId="24A6CAD5" w14:textId="77777777" w:rsidR="00895CDB" w:rsidRPr="00861A50" w:rsidRDefault="00895CDB" w:rsidP="008D6958">
            <w:pPr>
              <w:spacing w:line="276" w:lineRule="auto"/>
              <w:rPr>
                <w:rFonts w:ascii="Aptos" w:hAnsi="Aptos"/>
              </w:rPr>
            </w:pPr>
            <w:r w:rsidRPr="00861A50">
              <w:rPr>
                <w:rFonts w:ascii="Aptos" w:eastAsiaTheme="majorEastAsia" w:hAnsi="Aptos"/>
              </w:rPr>
              <w:t>Precision</w:t>
            </w:r>
          </w:p>
        </w:tc>
        <w:tc>
          <w:tcPr>
            <w:tcW w:w="3240" w:type="dxa"/>
            <w:hideMark/>
          </w:tcPr>
          <w:p w14:paraId="1DE253A2" w14:textId="74726D93" w:rsid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0.280 </w:t>
            </w:r>
            <w:r w:rsidR="00861A50">
              <w:rPr>
                <w:rFonts w:ascii="Aptos" w:hAnsi="Aptos"/>
              </w:rPr>
              <w:t>(</w:t>
            </w:r>
            <w:r w:rsidRPr="00861A50">
              <w:rPr>
                <w:rFonts w:ascii="Aptos" w:hAnsi="Aptos"/>
              </w:rPr>
              <w:t>Logistic Regression</w:t>
            </w:r>
            <w:proofErr w:type="gramStart"/>
            <w:r w:rsidR="00861A50">
              <w:rPr>
                <w:rFonts w:ascii="Aptos" w:hAnsi="Aptos"/>
              </w:rPr>
              <w:t>)</w:t>
            </w:r>
            <w:r w:rsidRPr="00861A50">
              <w:rPr>
                <w:rFonts w:ascii="Aptos" w:hAnsi="Aptos"/>
              </w:rPr>
              <w:t>;</w:t>
            </w:r>
            <w:proofErr w:type="gramEnd"/>
            <w:r w:rsidRPr="00861A50">
              <w:rPr>
                <w:rFonts w:ascii="Aptos" w:hAnsi="Aptos"/>
              </w:rPr>
              <w:t xml:space="preserve"> </w:t>
            </w:r>
          </w:p>
          <w:p w14:paraId="2DC01889" w14:textId="640D3981"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0.270 </w:t>
            </w:r>
            <w:r w:rsidR="00861A50">
              <w:rPr>
                <w:rFonts w:ascii="Aptos" w:hAnsi="Aptos"/>
              </w:rPr>
              <w:t>(</w:t>
            </w:r>
            <w:proofErr w:type="spellStart"/>
            <w:r w:rsidRPr="00861A50">
              <w:rPr>
                <w:rFonts w:ascii="Aptos" w:hAnsi="Aptos"/>
              </w:rPr>
              <w:t>XGBoost</w:t>
            </w:r>
            <w:proofErr w:type="spellEnd"/>
            <w:r w:rsidR="00861A50">
              <w:rPr>
                <w:rFonts w:ascii="Aptos" w:hAnsi="Aptos"/>
              </w:rPr>
              <w:t>)</w:t>
            </w:r>
          </w:p>
        </w:tc>
        <w:tc>
          <w:tcPr>
            <w:tcW w:w="4500" w:type="dxa"/>
            <w:hideMark/>
          </w:tcPr>
          <w:p w14:paraId="3D79FA5D"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About 27–28% of patients flagged high risk </w:t>
            </w:r>
            <w:proofErr w:type="gramStart"/>
            <w:r w:rsidRPr="00861A50">
              <w:rPr>
                <w:rFonts w:ascii="Aptos" w:hAnsi="Aptos"/>
              </w:rPr>
              <w:t>actually died</w:t>
            </w:r>
            <w:proofErr w:type="gramEnd"/>
          </w:p>
        </w:tc>
      </w:tr>
      <w:tr w:rsidR="008D6958" w:rsidRPr="00861A50" w14:paraId="07A93E72" w14:textId="77777777" w:rsidTr="008D6958">
        <w:tc>
          <w:tcPr>
            <w:cnfStyle w:val="001000000000" w:firstRow="0" w:lastRow="0" w:firstColumn="1" w:lastColumn="0" w:oddVBand="0" w:evenVBand="0" w:oddHBand="0" w:evenHBand="0" w:firstRowFirstColumn="0" w:firstRowLastColumn="0" w:lastRowFirstColumn="0" w:lastRowLastColumn="0"/>
            <w:tcW w:w="1525" w:type="dxa"/>
            <w:hideMark/>
          </w:tcPr>
          <w:p w14:paraId="464C57F4" w14:textId="77777777" w:rsidR="00895CDB" w:rsidRPr="00861A50" w:rsidRDefault="00895CDB" w:rsidP="008D6958">
            <w:pPr>
              <w:spacing w:line="276" w:lineRule="auto"/>
              <w:rPr>
                <w:rFonts w:ascii="Aptos" w:hAnsi="Aptos"/>
              </w:rPr>
            </w:pPr>
            <w:r w:rsidRPr="00861A50">
              <w:rPr>
                <w:rFonts w:ascii="Aptos" w:eastAsiaTheme="majorEastAsia" w:hAnsi="Aptos"/>
              </w:rPr>
              <w:t>Recall</w:t>
            </w:r>
          </w:p>
        </w:tc>
        <w:tc>
          <w:tcPr>
            <w:tcW w:w="3240" w:type="dxa"/>
            <w:hideMark/>
          </w:tcPr>
          <w:p w14:paraId="4A4C5E12" w14:textId="1AFB8159" w:rsidR="005779A8"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0.737 </w:t>
            </w:r>
            <w:r w:rsidR="005779A8">
              <w:rPr>
                <w:rFonts w:ascii="Aptos" w:hAnsi="Aptos"/>
              </w:rPr>
              <w:t>(</w:t>
            </w:r>
            <w:r w:rsidRPr="00861A50">
              <w:rPr>
                <w:rFonts w:ascii="Aptos" w:hAnsi="Aptos"/>
              </w:rPr>
              <w:t>Logistic Regression</w:t>
            </w:r>
            <w:proofErr w:type="gramStart"/>
            <w:r w:rsidR="005779A8">
              <w:rPr>
                <w:rFonts w:ascii="Aptos" w:hAnsi="Aptos"/>
              </w:rPr>
              <w:t>)</w:t>
            </w:r>
            <w:r w:rsidRPr="00861A50">
              <w:rPr>
                <w:rFonts w:ascii="Aptos" w:hAnsi="Aptos"/>
              </w:rPr>
              <w:t>;</w:t>
            </w:r>
            <w:proofErr w:type="gramEnd"/>
            <w:r w:rsidRPr="00861A50">
              <w:rPr>
                <w:rFonts w:ascii="Aptos" w:hAnsi="Aptos"/>
              </w:rPr>
              <w:t xml:space="preserve"> </w:t>
            </w:r>
          </w:p>
          <w:p w14:paraId="79D6F717" w14:textId="70418720"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 xml:space="preserve">0.773 </w:t>
            </w:r>
            <w:r w:rsidR="005779A8">
              <w:rPr>
                <w:rFonts w:ascii="Aptos" w:hAnsi="Aptos"/>
              </w:rPr>
              <w:t>(</w:t>
            </w:r>
            <w:proofErr w:type="spellStart"/>
            <w:r w:rsidRPr="00861A50">
              <w:rPr>
                <w:rFonts w:ascii="Aptos" w:hAnsi="Aptos"/>
              </w:rPr>
              <w:t>XGBoost</w:t>
            </w:r>
            <w:proofErr w:type="spellEnd"/>
            <w:r w:rsidR="005779A8">
              <w:rPr>
                <w:rFonts w:ascii="Aptos" w:hAnsi="Aptos"/>
              </w:rPr>
              <w:t>)</w:t>
            </w:r>
          </w:p>
        </w:tc>
        <w:tc>
          <w:tcPr>
            <w:tcW w:w="4500" w:type="dxa"/>
            <w:hideMark/>
          </w:tcPr>
          <w:p w14:paraId="46D22A30"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The models identified about 74–77% of patients who died</w:t>
            </w:r>
          </w:p>
        </w:tc>
      </w:tr>
      <w:tr w:rsidR="008D6958" w:rsidRPr="00861A50" w14:paraId="539D7A9B" w14:textId="77777777" w:rsidTr="008D6958">
        <w:tc>
          <w:tcPr>
            <w:cnfStyle w:val="001000000000" w:firstRow="0" w:lastRow="0" w:firstColumn="1" w:lastColumn="0" w:oddVBand="0" w:evenVBand="0" w:oddHBand="0" w:evenHBand="0" w:firstRowFirstColumn="0" w:firstRowLastColumn="0" w:lastRowFirstColumn="0" w:lastRowLastColumn="0"/>
            <w:tcW w:w="1525" w:type="dxa"/>
            <w:hideMark/>
          </w:tcPr>
          <w:p w14:paraId="02CD4813" w14:textId="77777777" w:rsidR="00895CDB" w:rsidRPr="00861A50" w:rsidRDefault="00895CDB" w:rsidP="008D6958">
            <w:pPr>
              <w:spacing w:line="276" w:lineRule="auto"/>
              <w:rPr>
                <w:rFonts w:ascii="Aptos" w:hAnsi="Aptos"/>
              </w:rPr>
            </w:pPr>
            <w:r w:rsidRPr="00861A50">
              <w:rPr>
                <w:rFonts w:ascii="Aptos" w:eastAsiaTheme="majorEastAsia" w:hAnsi="Aptos"/>
              </w:rPr>
              <w:t>Brier Score</w:t>
            </w:r>
          </w:p>
        </w:tc>
        <w:tc>
          <w:tcPr>
            <w:tcW w:w="3240" w:type="dxa"/>
            <w:hideMark/>
          </w:tcPr>
          <w:p w14:paraId="1852BE45"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0.171 for both models</w:t>
            </w:r>
          </w:p>
        </w:tc>
        <w:tc>
          <w:tcPr>
            <w:tcW w:w="4500" w:type="dxa"/>
            <w:hideMark/>
          </w:tcPr>
          <w:p w14:paraId="395A2DD8"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Similar overall accuracy of predicted risk</w:t>
            </w:r>
          </w:p>
        </w:tc>
      </w:tr>
    </w:tbl>
    <w:p w14:paraId="541CC381" w14:textId="77777777" w:rsidR="00861A50" w:rsidRDefault="00861A50" w:rsidP="00861A50">
      <w:pPr>
        <w:rPr>
          <w:rFonts w:ascii="Aptos" w:hAnsi="Aptos"/>
        </w:rPr>
      </w:pPr>
    </w:p>
    <w:p w14:paraId="4C965505" w14:textId="727BFE8E" w:rsidR="00470AC4" w:rsidRPr="00861A50" w:rsidRDefault="00895CDB" w:rsidP="00861A50">
      <w:pPr>
        <w:rPr>
          <w:rFonts w:ascii="Aptos" w:hAnsi="Aptos"/>
        </w:rPr>
      </w:pPr>
      <w:r w:rsidRPr="00861A50">
        <w:rPr>
          <w:rFonts w:ascii="Aptos" w:hAnsi="Aptos"/>
        </w:rPr>
        <w:t xml:space="preserve">These results were measured on an internal test set from </w:t>
      </w:r>
      <w:r w:rsidRPr="00861A50">
        <w:rPr>
          <w:rFonts w:ascii="Aptos" w:eastAsiaTheme="majorEastAsia" w:hAnsi="Aptos"/>
        </w:rPr>
        <w:t>15,000 ICU patients</w:t>
      </w:r>
      <w:r w:rsidRPr="00861A50">
        <w:rPr>
          <w:rFonts w:ascii="Aptos" w:hAnsi="Aptos"/>
        </w:rPr>
        <w:t xml:space="preserve">, with </w:t>
      </w:r>
      <w:r w:rsidRPr="00861A50">
        <w:rPr>
          <w:rFonts w:ascii="Aptos" w:eastAsiaTheme="majorEastAsia" w:hAnsi="Aptos"/>
        </w:rPr>
        <w:t>22.8% hospital mortality</w:t>
      </w:r>
      <w:r w:rsidRPr="00861A50">
        <w:rPr>
          <w:rFonts w:ascii="Aptos" w:hAnsi="Aptos"/>
        </w:rPr>
        <w:t xml:space="preserve">. Two models were tested: Logistic Regression and </w:t>
      </w:r>
      <w:proofErr w:type="spellStart"/>
      <w:r w:rsidRPr="00861A50">
        <w:rPr>
          <w:rFonts w:ascii="Aptos" w:hAnsi="Aptos"/>
        </w:rPr>
        <w:t>XGBoost</w:t>
      </w:r>
      <w:proofErr w:type="spellEnd"/>
      <w:r w:rsidRPr="00861A50">
        <w:rPr>
          <w:rFonts w:ascii="Aptos" w:hAnsi="Aptos"/>
        </w:rPr>
        <w:t xml:space="preserve">. Overall performance was modest, and neither model should be used alone for clinical decisions. </w:t>
      </w:r>
      <w:proofErr w:type="spellStart"/>
      <w:r w:rsidRPr="00861A50">
        <w:rPr>
          <w:rFonts w:ascii="Aptos" w:hAnsi="Aptos"/>
        </w:rPr>
        <w:t>XGBoost</w:t>
      </w:r>
      <w:proofErr w:type="spellEnd"/>
      <w:r w:rsidRPr="00861A50">
        <w:rPr>
          <w:rFonts w:ascii="Aptos" w:hAnsi="Aptos"/>
        </w:rPr>
        <w:t xml:space="preserve"> found slightly more patients who died, while Logistic Regression had slightly better precision. The AUROC confidence intervals overlap, so the difference appears small.</w:t>
      </w:r>
    </w:p>
    <w:p w14:paraId="406CA208" w14:textId="77777777" w:rsidR="00895CDB" w:rsidRDefault="00895CDB" w:rsidP="00861A50">
      <w:pPr>
        <w:rPr>
          <w:rFonts w:ascii="Aptos" w:hAnsi="Aptos"/>
        </w:rPr>
      </w:pPr>
      <w:r w:rsidRPr="008D6958">
        <w:rPr>
          <w:rFonts w:ascii="Aptos" w:eastAsiaTheme="majorEastAsia" w:hAnsi="Aptos"/>
          <w:b/>
          <w:bCs/>
          <w:i/>
          <w:iCs/>
        </w:rPr>
        <w:lastRenderedPageBreak/>
        <w:t>Important:</w:t>
      </w:r>
      <w:r w:rsidRPr="00861A50">
        <w:rPr>
          <w:rFonts w:ascii="Aptos" w:hAnsi="Aptos"/>
        </w:rPr>
        <w:t xml:space="preserve"> Performance has only been evaluated on the study dataset. Comparison with clinician performance and subgroup analysis were not performed.</w:t>
      </w:r>
    </w:p>
    <w:p w14:paraId="7C51B85E" w14:textId="77777777" w:rsidR="008D6958" w:rsidRPr="00861A50" w:rsidRDefault="008D6958" w:rsidP="00861A50">
      <w:pPr>
        <w:rPr>
          <w:rFonts w:ascii="Aptos" w:hAnsi="Aptos"/>
        </w:rPr>
      </w:pPr>
    </w:p>
    <w:p w14:paraId="2290DCB5" w14:textId="77777777"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Limitations and Failure Modes</w:t>
      </w:r>
    </w:p>
    <w:p w14:paraId="2A6FD064" w14:textId="77777777" w:rsidR="00895CDB" w:rsidRPr="00861A50" w:rsidRDefault="00895CDB" w:rsidP="00861A50">
      <w:pPr>
        <w:rPr>
          <w:rFonts w:ascii="Aptos" w:hAnsi="Aptos"/>
        </w:rPr>
      </w:pPr>
      <w:r w:rsidRPr="00861A50">
        <w:rPr>
          <w:rFonts w:ascii="Aptos" w:hAnsi="Aptos"/>
        </w:rPr>
        <w:t>This tool was tested on one internal ICU dataset only, so performance in other hospitals or patient populations is unknown. It may be less reliable when the input data are missing, delayed, inaccurate, or not reflective of the patient’s current condition. It may also perform less well in clinical situations that differ from the study data.</w:t>
      </w:r>
    </w:p>
    <w:p w14:paraId="1E9A4E7E" w14:textId="77777777" w:rsidR="00895CDB" w:rsidRDefault="00895CDB" w:rsidP="00861A50">
      <w:pPr>
        <w:rPr>
          <w:rFonts w:ascii="Aptos" w:hAnsi="Aptos"/>
        </w:rPr>
      </w:pPr>
      <w:r w:rsidRPr="00861A50">
        <w:rPr>
          <w:rFonts w:ascii="Aptos" w:hAnsi="Aptos"/>
        </w:rPr>
        <w:t xml:space="preserve">The most likely failure pattern is a </w:t>
      </w:r>
      <w:r w:rsidRPr="00861A50">
        <w:rPr>
          <w:rFonts w:ascii="Aptos" w:eastAsiaTheme="majorEastAsia" w:hAnsi="Aptos"/>
        </w:rPr>
        <w:t>false positive</w:t>
      </w:r>
      <w:r w:rsidRPr="00861A50">
        <w:rPr>
          <w:rFonts w:ascii="Aptos" w:hAnsi="Aptos"/>
        </w:rPr>
        <w:t xml:space="preserve">, where the patient is flagged as high risk but survives. This may lead to unnecessary concern or escalation. It can also produce </w:t>
      </w:r>
      <w:r w:rsidRPr="00861A50">
        <w:rPr>
          <w:rFonts w:ascii="Aptos" w:eastAsiaTheme="majorEastAsia" w:hAnsi="Aptos"/>
        </w:rPr>
        <w:t>false negatives</w:t>
      </w:r>
      <w:r w:rsidRPr="00861A50">
        <w:rPr>
          <w:rFonts w:ascii="Aptos" w:hAnsi="Aptos"/>
        </w:rPr>
        <w:t>, where a patient who later dies is not flagged as high risk, creating false reassurance. Because overall performance was modest, both types of error should be expected.</w:t>
      </w:r>
    </w:p>
    <w:p w14:paraId="504F08CB" w14:textId="77777777" w:rsidR="008D6958" w:rsidRPr="00861A50" w:rsidRDefault="008D6958" w:rsidP="00861A50">
      <w:pPr>
        <w:rPr>
          <w:rFonts w:ascii="Aptos" w:hAnsi="Aptos"/>
        </w:rPr>
      </w:pPr>
    </w:p>
    <w:p w14:paraId="20C1FA2A" w14:textId="77777777" w:rsidR="00895CDB" w:rsidRDefault="00895CDB" w:rsidP="00861A50">
      <w:pPr>
        <w:rPr>
          <w:rFonts w:ascii="Aptos" w:hAnsi="Aptos"/>
          <w:b/>
          <w:bCs/>
          <w:color w:val="153D63" w:themeColor="text2" w:themeTint="E6"/>
        </w:rPr>
      </w:pPr>
      <w:r w:rsidRPr="008D6958">
        <w:rPr>
          <w:rFonts w:ascii="Aptos" w:hAnsi="Aptos"/>
          <w:b/>
          <w:bCs/>
          <w:color w:val="153D63" w:themeColor="text2" w:themeTint="E6"/>
        </w:rPr>
        <w:t>Human Override Rules</w:t>
      </w:r>
    </w:p>
    <w:p w14:paraId="7284A148" w14:textId="72B8D0C8" w:rsidR="00470AC4" w:rsidRPr="00470AC4" w:rsidRDefault="00470AC4" w:rsidP="00861A50">
      <w:pPr>
        <w:rPr>
          <w:rFonts w:ascii="Aptos" w:hAnsi="Aptos"/>
          <w:color w:val="000000" w:themeColor="text1"/>
        </w:rPr>
      </w:pPr>
      <w:r w:rsidRPr="00470AC4">
        <w:rPr>
          <w:rFonts w:ascii="Aptos" w:hAnsi="Aptos"/>
          <w:color w:val="000000" w:themeColor="text1"/>
        </w:rPr>
        <w:t>Table 2. Human Override Rules</w:t>
      </w:r>
    </w:p>
    <w:tbl>
      <w:tblPr>
        <w:tblStyle w:val="GridTable1Light"/>
        <w:tblW w:w="0" w:type="auto"/>
        <w:tblLook w:val="04A0" w:firstRow="1" w:lastRow="0" w:firstColumn="1" w:lastColumn="0" w:noHBand="0" w:noVBand="1"/>
      </w:tblPr>
      <w:tblGrid>
        <w:gridCol w:w="2977"/>
        <w:gridCol w:w="6373"/>
      </w:tblGrid>
      <w:tr w:rsidR="00895CDB" w:rsidRPr="00861A50" w14:paraId="6FD32C33" w14:textId="77777777" w:rsidTr="00114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AE9F7" w:themeFill="text2" w:themeFillTint="1A"/>
            <w:hideMark/>
          </w:tcPr>
          <w:p w14:paraId="4CA6CE2F" w14:textId="77777777" w:rsidR="00895CDB" w:rsidRPr="00861A50" w:rsidRDefault="00895CDB" w:rsidP="00861A50">
            <w:pPr>
              <w:rPr>
                <w:rFonts w:ascii="Aptos" w:hAnsi="Aptos"/>
              </w:rPr>
            </w:pPr>
            <w:r w:rsidRPr="00861A50">
              <w:rPr>
                <w:rFonts w:ascii="Aptos" w:hAnsi="Aptos"/>
              </w:rPr>
              <w:t>Situation</w:t>
            </w:r>
          </w:p>
        </w:tc>
        <w:tc>
          <w:tcPr>
            <w:tcW w:w="0" w:type="auto"/>
            <w:shd w:val="clear" w:color="auto" w:fill="DAE9F7" w:themeFill="text2" w:themeFillTint="1A"/>
            <w:hideMark/>
          </w:tcPr>
          <w:p w14:paraId="3640D25E" w14:textId="77777777" w:rsidR="00895CDB" w:rsidRPr="00861A50" w:rsidRDefault="00895CDB" w:rsidP="00861A50">
            <w:pPr>
              <w:cnfStyle w:val="100000000000" w:firstRow="1" w:lastRow="0" w:firstColumn="0" w:lastColumn="0" w:oddVBand="0" w:evenVBand="0" w:oddHBand="0" w:evenHBand="0" w:firstRowFirstColumn="0" w:firstRowLastColumn="0" w:lastRowFirstColumn="0" w:lastRowLastColumn="0"/>
              <w:rPr>
                <w:rFonts w:ascii="Aptos" w:hAnsi="Aptos"/>
              </w:rPr>
            </w:pPr>
            <w:r w:rsidRPr="00861A50">
              <w:rPr>
                <w:rFonts w:ascii="Aptos" w:hAnsi="Aptos"/>
              </w:rPr>
              <w:t>What to do</w:t>
            </w:r>
          </w:p>
        </w:tc>
      </w:tr>
      <w:tr w:rsidR="00895CDB" w:rsidRPr="00861A50" w14:paraId="5348603B"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17349353" w14:textId="77777777" w:rsidR="008D6958" w:rsidRDefault="00895CDB" w:rsidP="008D6958">
            <w:pPr>
              <w:spacing w:line="276" w:lineRule="auto"/>
              <w:rPr>
                <w:rFonts w:ascii="Aptos" w:eastAsiaTheme="majorEastAsia" w:hAnsi="Aptos"/>
              </w:rPr>
            </w:pPr>
            <w:r w:rsidRPr="008D6958">
              <w:rPr>
                <w:rFonts w:ascii="Aptos" w:eastAsiaTheme="majorEastAsia" w:hAnsi="Aptos"/>
                <w:b w:val="0"/>
                <w:bCs w:val="0"/>
              </w:rPr>
              <w:t xml:space="preserve">High-risk score, </w:t>
            </w:r>
          </w:p>
          <w:p w14:paraId="13538862" w14:textId="3E17195B"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but low clinical concern</w:t>
            </w:r>
          </w:p>
        </w:tc>
        <w:tc>
          <w:tcPr>
            <w:tcW w:w="0" w:type="auto"/>
            <w:hideMark/>
          </w:tcPr>
          <w:p w14:paraId="06A3C1A4"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Recheck the data and reassess the patient. Do not escalate based on the score alone.</w:t>
            </w:r>
          </w:p>
        </w:tc>
      </w:tr>
      <w:tr w:rsidR="00895CDB" w:rsidRPr="00861A50" w14:paraId="7C182587"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65A5C461" w14:textId="77777777" w:rsidR="008D6958" w:rsidRDefault="00895CDB" w:rsidP="008D6958">
            <w:pPr>
              <w:spacing w:line="276" w:lineRule="auto"/>
              <w:rPr>
                <w:rFonts w:ascii="Aptos" w:eastAsiaTheme="majorEastAsia" w:hAnsi="Aptos"/>
              </w:rPr>
            </w:pPr>
            <w:r w:rsidRPr="008D6958">
              <w:rPr>
                <w:rFonts w:ascii="Aptos" w:eastAsiaTheme="majorEastAsia" w:hAnsi="Aptos"/>
                <w:b w:val="0"/>
                <w:bCs w:val="0"/>
              </w:rPr>
              <w:t xml:space="preserve">Low-risk score, </w:t>
            </w:r>
          </w:p>
          <w:p w14:paraId="1AA0A55B" w14:textId="570493C5"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but high clinical concern</w:t>
            </w:r>
          </w:p>
        </w:tc>
        <w:tc>
          <w:tcPr>
            <w:tcW w:w="0" w:type="auto"/>
            <w:hideMark/>
          </w:tcPr>
          <w:p w14:paraId="1FF45972"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Follow the bedside picture. Do not let a low score override concern about deterioration.</w:t>
            </w:r>
          </w:p>
        </w:tc>
      </w:tr>
      <w:tr w:rsidR="00895CDB" w:rsidRPr="00861A50" w14:paraId="3D53E5BC"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4564B84F" w14:textId="77777777"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Missing or unreliable data</w:t>
            </w:r>
          </w:p>
        </w:tc>
        <w:tc>
          <w:tcPr>
            <w:tcW w:w="0" w:type="auto"/>
            <w:hideMark/>
          </w:tcPr>
          <w:p w14:paraId="43FF89BD"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Do not rely on the score until the data are verified.</w:t>
            </w:r>
          </w:p>
        </w:tc>
      </w:tr>
      <w:tr w:rsidR="00895CDB" w:rsidRPr="00861A50" w14:paraId="242FC345"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56A1417A" w14:textId="77777777"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Patient outside validated population</w:t>
            </w:r>
          </w:p>
        </w:tc>
        <w:tc>
          <w:tcPr>
            <w:tcW w:w="0" w:type="auto"/>
            <w:hideMark/>
          </w:tcPr>
          <w:p w14:paraId="0359B98B"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Use extra caution and treat the result as supplemental only.</w:t>
            </w:r>
          </w:p>
        </w:tc>
      </w:tr>
      <w:tr w:rsidR="00895CDB" w:rsidRPr="00861A50" w14:paraId="5903C57F"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5762E344" w14:textId="77777777"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High-stakes decisions</w:t>
            </w:r>
          </w:p>
        </w:tc>
        <w:tc>
          <w:tcPr>
            <w:tcW w:w="0" w:type="auto"/>
            <w:hideMark/>
          </w:tcPr>
          <w:p w14:paraId="07B58032"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Never use the score alone for major treatment or goals-of-care decisions.</w:t>
            </w:r>
          </w:p>
        </w:tc>
      </w:tr>
      <w:tr w:rsidR="00895CDB" w:rsidRPr="00861A50" w14:paraId="7A32D989" w14:textId="77777777" w:rsidTr="008D6958">
        <w:tc>
          <w:tcPr>
            <w:cnfStyle w:val="001000000000" w:firstRow="0" w:lastRow="0" w:firstColumn="1" w:lastColumn="0" w:oddVBand="0" w:evenVBand="0" w:oddHBand="0" w:evenHBand="0" w:firstRowFirstColumn="0" w:firstRowLastColumn="0" w:lastRowFirstColumn="0" w:lastRowLastColumn="0"/>
            <w:tcW w:w="0" w:type="auto"/>
            <w:hideMark/>
          </w:tcPr>
          <w:p w14:paraId="00BC6FFC" w14:textId="77777777" w:rsidR="00895CDB" w:rsidRPr="008D6958" w:rsidRDefault="00895CDB" w:rsidP="008D6958">
            <w:pPr>
              <w:spacing w:line="276" w:lineRule="auto"/>
              <w:rPr>
                <w:rFonts w:ascii="Aptos" w:hAnsi="Aptos"/>
                <w:b w:val="0"/>
                <w:bCs w:val="0"/>
              </w:rPr>
            </w:pPr>
            <w:r w:rsidRPr="008D6958">
              <w:rPr>
                <w:rFonts w:ascii="Aptos" w:eastAsiaTheme="majorEastAsia" w:hAnsi="Aptos"/>
                <w:b w:val="0"/>
                <w:bCs w:val="0"/>
              </w:rPr>
              <w:t>Uncertain case</w:t>
            </w:r>
          </w:p>
        </w:tc>
        <w:tc>
          <w:tcPr>
            <w:tcW w:w="0" w:type="auto"/>
            <w:hideMark/>
          </w:tcPr>
          <w:p w14:paraId="5820B7AA" w14:textId="77777777" w:rsidR="00895CDB" w:rsidRPr="00861A50" w:rsidRDefault="00895CDB" w:rsidP="008D6958">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Escalate to senior review, repeat assessment, and continue monitoring.</w:t>
            </w:r>
          </w:p>
        </w:tc>
      </w:tr>
    </w:tbl>
    <w:p w14:paraId="6F314449" w14:textId="77777777" w:rsidR="008D6958" w:rsidRDefault="008D6958" w:rsidP="00861A50">
      <w:pPr>
        <w:rPr>
          <w:rFonts w:ascii="Aptos" w:hAnsi="Aptos"/>
        </w:rPr>
      </w:pPr>
    </w:p>
    <w:p w14:paraId="0BD04DD7" w14:textId="3188FBD1"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Reporting Issues</w:t>
      </w:r>
    </w:p>
    <w:p w14:paraId="5146E854" w14:textId="77777777" w:rsidR="00895CDB" w:rsidRPr="00861A50" w:rsidRDefault="00895CDB" w:rsidP="00861A50">
      <w:pPr>
        <w:rPr>
          <w:rFonts w:ascii="Aptos" w:hAnsi="Aptos"/>
        </w:rPr>
      </w:pPr>
      <w:r w:rsidRPr="00861A50">
        <w:rPr>
          <w:rFonts w:ascii="Aptos" w:hAnsi="Aptos"/>
        </w:rPr>
        <w:t>Report technical problems, unexpected outputs, or suspected unsafe behavior through the project’s designated reporting pathway. Include the patient context, input concerns, output shown, and why the result appeared inconsistent with the clinical picture.</w:t>
      </w:r>
    </w:p>
    <w:p w14:paraId="654F6D90" w14:textId="77777777" w:rsidR="008D6958" w:rsidRDefault="008D6958" w:rsidP="00861A50">
      <w:pPr>
        <w:rPr>
          <w:rFonts w:ascii="Aptos" w:hAnsi="Aptos"/>
        </w:rPr>
      </w:pPr>
    </w:p>
    <w:p w14:paraId="284BB356" w14:textId="501589AC"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How It Works</w:t>
      </w:r>
    </w:p>
    <w:p w14:paraId="7B2BB564" w14:textId="77777777" w:rsidR="00895CDB" w:rsidRPr="00861A50" w:rsidRDefault="00895CDB" w:rsidP="00861A50">
      <w:pPr>
        <w:rPr>
          <w:rFonts w:ascii="Aptos" w:hAnsi="Aptos"/>
        </w:rPr>
      </w:pPr>
      <w:r w:rsidRPr="00861A50">
        <w:rPr>
          <w:rFonts w:ascii="Aptos" w:hAnsi="Aptos"/>
        </w:rPr>
        <w:t>The tool was developed using ICU patient records containing age, comorbidity burden, vital signs, oxygenation, sepsis status, and need for support such as ventilation or vasopressors. It identifies patterns in these data that were associated with death during admission and uses them to generate a new patient’s risk score.</w:t>
      </w:r>
    </w:p>
    <w:p w14:paraId="787764B0" w14:textId="77777777" w:rsidR="00B71EF6" w:rsidRDefault="00895CDB" w:rsidP="00861A50">
      <w:pPr>
        <w:rPr>
          <w:rFonts w:ascii="Aptos" w:hAnsi="Aptos"/>
        </w:rPr>
      </w:pPr>
      <w:r w:rsidRPr="00861A50">
        <w:rPr>
          <w:rFonts w:ascii="Aptos" w:hAnsi="Aptos"/>
        </w:rPr>
        <w:t xml:space="preserve">Two model types were tested: one simpler and easier to explain, and one more flexible. Both estimate risk from overall data patterns rather than from a single variable. </w:t>
      </w:r>
    </w:p>
    <w:p w14:paraId="3DF0EE57" w14:textId="19E16F4C" w:rsidR="008D6958" w:rsidRDefault="00895CDB" w:rsidP="00861A50">
      <w:pPr>
        <w:rPr>
          <w:rFonts w:ascii="Aptos" w:hAnsi="Aptos"/>
        </w:rPr>
      </w:pPr>
      <w:r w:rsidRPr="00861A50">
        <w:rPr>
          <w:rFonts w:ascii="Aptos" w:hAnsi="Aptos"/>
        </w:rPr>
        <w:lastRenderedPageBreak/>
        <w:t xml:space="preserve">The tool works best when data are complete, current, and </w:t>
      </w:r>
      <w:proofErr w:type="gramStart"/>
      <w:r w:rsidRPr="00861A50">
        <w:rPr>
          <w:rFonts w:ascii="Aptos" w:hAnsi="Aptos"/>
        </w:rPr>
        <w:t>similar to</w:t>
      </w:r>
      <w:proofErr w:type="gramEnd"/>
      <w:r w:rsidRPr="00861A50">
        <w:rPr>
          <w:rFonts w:ascii="Aptos" w:hAnsi="Aptos"/>
        </w:rPr>
        <w:t xml:space="preserve"> the ICU population used in development.</w:t>
      </w:r>
    </w:p>
    <w:p w14:paraId="7C2F00DE" w14:textId="77777777" w:rsidR="00470AC4" w:rsidRPr="00861A50" w:rsidRDefault="00470AC4" w:rsidP="00861A50">
      <w:pPr>
        <w:rPr>
          <w:rFonts w:ascii="Aptos" w:hAnsi="Aptos"/>
        </w:rPr>
      </w:pPr>
    </w:p>
    <w:p w14:paraId="1CD87C73" w14:textId="382B10FC" w:rsidR="001142F5" w:rsidRDefault="00895CDB" w:rsidP="00861A50">
      <w:pPr>
        <w:rPr>
          <w:rFonts w:ascii="Aptos" w:hAnsi="Aptos"/>
          <w:b/>
          <w:bCs/>
          <w:color w:val="153D63" w:themeColor="text2" w:themeTint="E6"/>
        </w:rPr>
      </w:pPr>
      <w:r w:rsidRPr="008D6958">
        <w:rPr>
          <w:rFonts w:ascii="Aptos" w:hAnsi="Aptos"/>
          <w:b/>
          <w:bCs/>
          <w:color w:val="153D63" w:themeColor="text2" w:themeTint="E6"/>
        </w:rPr>
        <w:t>Interpreting Output</w:t>
      </w:r>
    </w:p>
    <w:p w14:paraId="0D3F1688" w14:textId="120A66A4" w:rsidR="00D024E0" w:rsidRPr="00470AC4" w:rsidRDefault="00470AC4" w:rsidP="00861A50">
      <w:pPr>
        <w:rPr>
          <w:rFonts w:ascii="Aptos" w:hAnsi="Aptos"/>
          <w:color w:val="000000" w:themeColor="text1"/>
        </w:rPr>
      </w:pPr>
      <w:r w:rsidRPr="00470AC4">
        <w:rPr>
          <w:rFonts w:ascii="Aptos" w:hAnsi="Aptos"/>
          <w:color w:val="000000" w:themeColor="text1"/>
        </w:rPr>
        <w:t xml:space="preserve">Table </w:t>
      </w:r>
      <w:r>
        <w:rPr>
          <w:rFonts w:ascii="Aptos" w:hAnsi="Aptos"/>
          <w:color w:val="000000" w:themeColor="text1"/>
        </w:rPr>
        <w:t>3</w:t>
      </w:r>
      <w:r w:rsidRPr="00470AC4">
        <w:rPr>
          <w:rFonts w:ascii="Aptos" w:hAnsi="Aptos"/>
          <w:color w:val="000000" w:themeColor="text1"/>
        </w:rPr>
        <w:t>. Risk score interpretation</w:t>
      </w:r>
    </w:p>
    <w:tbl>
      <w:tblPr>
        <w:tblStyle w:val="GridTable1Light"/>
        <w:tblW w:w="9715" w:type="dxa"/>
        <w:tblLook w:val="04A0" w:firstRow="1" w:lastRow="0" w:firstColumn="1" w:lastColumn="0" w:noHBand="0" w:noVBand="1"/>
      </w:tblPr>
      <w:tblGrid>
        <w:gridCol w:w="1795"/>
        <w:gridCol w:w="3330"/>
        <w:gridCol w:w="4590"/>
      </w:tblGrid>
      <w:tr w:rsidR="008D6958" w:rsidRPr="00861A50" w14:paraId="21703707" w14:textId="77777777" w:rsidTr="001142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DAE9F7" w:themeFill="text2" w:themeFillTint="1A"/>
            <w:hideMark/>
          </w:tcPr>
          <w:p w14:paraId="021A1046" w14:textId="77777777" w:rsidR="00895CDB" w:rsidRPr="00861A50" w:rsidRDefault="00895CDB" w:rsidP="00861A50">
            <w:pPr>
              <w:rPr>
                <w:rFonts w:ascii="Aptos" w:hAnsi="Aptos"/>
              </w:rPr>
            </w:pPr>
            <w:r w:rsidRPr="00861A50">
              <w:rPr>
                <w:rFonts w:ascii="Aptos" w:hAnsi="Aptos"/>
              </w:rPr>
              <w:t>Risk score</w:t>
            </w:r>
          </w:p>
        </w:tc>
        <w:tc>
          <w:tcPr>
            <w:tcW w:w="3330" w:type="dxa"/>
            <w:shd w:val="clear" w:color="auto" w:fill="DAE9F7" w:themeFill="text2" w:themeFillTint="1A"/>
            <w:hideMark/>
          </w:tcPr>
          <w:p w14:paraId="3CEEF285" w14:textId="77777777" w:rsidR="00895CDB" w:rsidRPr="00861A50" w:rsidRDefault="00895CDB" w:rsidP="00861A50">
            <w:pPr>
              <w:cnfStyle w:val="100000000000" w:firstRow="1" w:lastRow="0" w:firstColumn="0" w:lastColumn="0" w:oddVBand="0" w:evenVBand="0" w:oddHBand="0" w:evenHBand="0" w:firstRowFirstColumn="0" w:firstRowLastColumn="0" w:lastRowFirstColumn="0" w:lastRowLastColumn="0"/>
              <w:rPr>
                <w:rFonts w:ascii="Aptos" w:hAnsi="Aptos"/>
              </w:rPr>
            </w:pPr>
            <w:r w:rsidRPr="00861A50">
              <w:rPr>
                <w:rFonts w:ascii="Aptos" w:hAnsi="Aptos"/>
              </w:rPr>
              <w:t>Interpretation</w:t>
            </w:r>
          </w:p>
        </w:tc>
        <w:tc>
          <w:tcPr>
            <w:tcW w:w="4590" w:type="dxa"/>
            <w:shd w:val="clear" w:color="auto" w:fill="DAE9F7" w:themeFill="text2" w:themeFillTint="1A"/>
            <w:hideMark/>
          </w:tcPr>
          <w:p w14:paraId="35DAAEC9" w14:textId="77777777" w:rsidR="00895CDB" w:rsidRPr="00861A50" w:rsidRDefault="00895CDB" w:rsidP="00861A50">
            <w:pPr>
              <w:cnfStyle w:val="100000000000" w:firstRow="1" w:lastRow="0" w:firstColumn="0" w:lastColumn="0" w:oddVBand="0" w:evenVBand="0" w:oddHBand="0" w:evenHBand="0" w:firstRowFirstColumn="0" w:firstRowLastColumn="0" w:lastRowFirstColumn="0" w:lastRowLastColumn="0"/>
              <w:rPr>
                <w:rFonts w:ascii="Aptos" w:hAnsi="Aptos"/>
              </w:rPr>
            </w:pPr>
            <w:r w:rsidRPr="00861A50">
              <w:rPr>
                <w:rFonts w:ascii="Aptos" w:hAnsi="Aptos"/>
              </w:rPr>
              <w:t>Clinical response</w:t>
            </w:r>
          </w:p>
        </w:tc>
      </w:tr>
      <w:tr w:rsidR="008D6958" w:rsidRPr="00861A50" w14:paraId="4BC0C787" w14:textId="77777777" w:rsidTr="008D6958">
        <w:tc>
          <w:tcPr>
            <w:cnfStyle w:val="001000000000" w:firstRow="0" w:lastRow="0" w:firstColumn="1" w:lastColumn="0" w:oddVBand="0" w:evenVBand="0" w:oddHBand="0" w:evenHBand="0" w:firstRowFirstColumn="0" w:firstRowLastColumn="0" w:lastRowFirstColumn="0" w:lastRowLastColumn="0"/>
            <w:tcW w:w="1795" w:type="dxa"/>
            <w:hideMark/>
          </w:tcPr>
          <w:p w14:paraId="68FBD17F" w14:textId="77777777" w:rsidR="00895CDB" w:rsidRPr="00861A50" w:rsidRDefault="00895CDB" w:rsidP="00861A50">
            <w:pPr>
              <w:rPr>
                <w:rFonts w:ascii="Aptos" w:hAnsi="Aptos"/>
              </w:rPr>
            </w:pPr>
            <w:r w:rsidRPr="00861A50">
              <w:rPr>
                <w:rFonts w:ascii="Aptos" w:eastAsiaTheme="majorEastAsia" w:hAnsi="Aptos"/>
              </w:rPr>
              <w:t>0–30%</w:t>
            </w:r>
          </w:p>
        </w:tc>
        <w:tc>
          <w:tcPr>
            <w:tcW w:w="3330" w:type="dxa"/>
            <w:hideMark/>
          </w:tcPr>
          <w:p w14:paraId="1FA0D9B1"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Lower predicted risk</w:t>
            </w:r>
          </w:p>
        </w:tc>
        <w:tc>
          <w:tcPr>
            <w:tcW w:w="4590" w:type="dxa"/>
            <w:hideMark/>
          </w:tcPr>
          <w:p w14:paraId="78CC2BFF"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Do not assume the patient is safe. Compare with the bedside picture and recent trend.</w:t>
            </w:r>
          </w:p>
        </w:tc>
      </w:tr>
      <w:tr w:rsidR="008D6958" w:rsidRPr="00861A50" w14:paraId="6B2BB4BF" w14:textId="77777777" w:rsidTr="008D6958">
        <w:tc>
          <w:tcPr>
            <w:cnfStyle w:val="001000000000" w:firstRow="0" w:lastRow="0" w:firstColumn="1" w:lastColumn="0" w:oddVBand="0" w:evenVBand="0" w:oddHBand="0" w:evenHBand="0" w:firstRowFirstColumn="0" w:firstRowLastColumn="0" w:lastRowFirstColumn="0" w:lastRowLastColumn="0"/>
            <w:tcW w:w="1795" w:type="dxa"/>
            <w:hideMark/>
          </w:tcPr>
          <w:p w14:paraId="3DB3637B" w14:textId="77777777" w:rsidR="00895CDB" w:rsidRPr="00861A50" w:rsidRDefault="00895CDB" w:rsidP="00861A50">
            <w:pPr>
              <w:rPr>
                <w:rFonts w:ascii="Aptos" w:hAnsi="Aptos"/>
              </w:rPr>
            </w:pPr>
            <w:r w:rsidRPr="00861A50">
              <w:rPr>
                <w:rFonts w:ascii="Aptos" w:eastAsiaTheme="majorEastAsia" w:hAnsi="Aptos"/>
              </w:rPr>
              <w:t>30–70%</w:t>
            </w:r>
          </w:p>
        </w:tc>
        <w:tc>
          <w:tcPr>
            <w:tcW w:w="3330" w:type="dxa"/>
            <w:hideMark/>
          </w:tcPr>
          <w:p w14:paraId="25FC2C91"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Intermediate predicted risk</w:t>
            </w:r>
          </w:p>
        </w:tc>
        <w:tc>
          <w:tcPr>
            <w:tcW w:w="4590" w:type="dxa"/>
            <w:hideMark/>
          </w:tcPr>
          <w:p w14:paraId="56468A12"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Use caution. Clinical judgment is especially important.</w:t>
            </w:r>
          </w:p>
        </w:tc>
      </w:tr>
      <w:tr w:rsidR="008D6958" w:rsidRPr="00861A50" w14:paraId="68749F24" w14:textId="77777777" w:rsidTr="008D6958">
        <w:tc>
          <w:tcPr>
            <w:cnfStyle w:val="001000000000" w:firstRow="0" w:lastRow="0" w:firstColumn="1" w:lastColumn="0" w:oddVBand="0" w:evenVBand="0" w:oddHBand="0" w:evenHBand="0" w:firstRowFirstColumn="0" w:firstRowLastColumn="0" w:lastRowFirstColumn="0" w:lastRowLastColumn="0"/>
            <w:tcW w:w="1795" w:type="dxa"/>
            <w:hideMark/>
          </w:tcPr>
          <w:p w14:paraId="06C1E5EC" w14:textId="77777777" w:rsidR="00895CDB" w:rsidRPr="00861A50" w:rsidRDefault="00895CDB" w:rsidP="00861A50">
            <w:pPr>
              <w:rPr>
                <w:rFonts w:ascii="Aptos" w:hAnsi="Aptos"/>
              </w:rPr>
            </w:pPr>
            <w:r w:rsidRPr="00861A50">
              <w:rPr>
                <w:rFonts w:ascii="Aptos" w:eastAsiaTheme="majorEastAsia" w:hAnsi="Aptos"/>
              </w:rPr>
              <w:t>70–100%</w:t>
            </w:r>
          </w:p>
        </w:tc>
        <w:tc>
          <w:tcPr>
            <w:tcW w:w="3330" w:type="dxa"/>
            <w:hideMark/>
          </w:tcPr>
          <w:p w14:paraId="579E3CD0"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Higher predicted risk</w:t>
            </w:r>
          </w:p>
        </w:tc>
        <w:tc>
          <w:tcPr>
            <w:tcW w:w="4590" w:type="dxa"/>
            <w:hideMark/>
          </w:tcPr>
          <w:p w14:paraId="6C8FEC99" w14:textId="77777777" w:rsidR="00895CDB" w:rsidRPr="00861A50" w:rsidRDefault="00895CDB" w:rsidP="00861A50">
            <w:pPr>
              <w:cnfStyle w:val="000000000000" w:firstRow="0" w:lastRow="0" w:firstColumn="0" w:lastColumn="0" w:oddVBand="0" w:evenVBand="0" w:oddHBand="0" w:evenHBand="0" w:firstRowFirstColumn="0" w:firstRowLastColumn="0" w:lastRowFirstColumn="0" w:lastRowLastColumn="0"/>
              <w:rPr>
                <w:rFonts w:ascii="Aptos" w:hAnsi="Aptos"/>
              </w:rPr>
            </w:pPr>
            <w:r w:rsidRPr="00861A50">
              <w:rPr>
                <w:rFonts w:ascii="Aptos" w:hAnsi="Aptos"/>
              </w:rPr>
              <w:t>Correlate with the clinical picture. Consider closer review and possible escalation if supported clinically.</w:t>
            </w:r>
          </w:p>
        </w:tc>
      </w:tr>
    </w:tbl>
    <w:p w14:paraId="1422E100" w14:textId="77777777" w:rsidR="008D6958" w:rsidRDefault="008D6958" w:rsidP="00861A50">
      <w:pPr>
        <w:rPr>
          <w:rFonts w:ascii="Aptos" w:hAnsi="Aptos"/>
        </w:rPr>
      </w:pPr>
    </w:p>
    <w:p w14:paraId="5D0A2821" w14:textId="105E7E60" w:rsidR="00895CDB" w:rsidRPr="00861A50" w:rsidRDefault="00895CDB" w:rsidP="00861A50">
      <w:pPr>
        <w:rPr>
          <w:rFonts w:ascii="Aptos" w:hAnsi="Aptos"/>
        </w:rPr>
      </w:pPr>
      <w:r w:rsidRPr="00861A50">
        <w:rPr>
          <w:rFonts w:ascii="Aptos" w:hAnsi="Aptos"/>
        </w:rPr>
        <w:t>Before acting on the score, ask:</w:t>
      </w:r>
    </w:p>
    <w:p w14:paraId="69B26416" w14:textId="77777777" w:rsidR="00895CDB" w:rsidRPr="008D6958" w:rsidRDefault="00895CDB" w:rsidP="008D6958">
      <w:pPr>
        <w:pStyle w:val="ListParagraph"/>
        <w:numPr>
          <w:ilvl w:val="0"/>
          <w:numId w:val="8"/>
        </w:numPr>
        <w:rPr>
          <w:rFonts w:ascii="Aptos" w:hAnsi="Aptos"/>
        </w:rPr>
      </w:pPr>
      <w:r w:rsidRPr="008D6958">
        <w:rPr>
          <w:rFonts w:ascii="Aptos" w:hAnsi="Aptos"/>
        </w:rPr>
        <w:t>Does the result match the patient’s current condition?</w:t>
      </w:r>
    </w:p>
    <w:p w14:paraId="7BB6819F" w14:textId="77777777" w:rsidR="00895CDB" w:rsidRPr="008D6958" w:rsidRDefault="00895CDB" w:rsidP="008D6958">
      <w:pPr>
        <w:pStyle w:val="ListParagraph"/>
        <w:numPr>
          <w:ilvl w:val="0"/>
          <w:numId w:val="8"/>
        </w:numPr>
        <w:rPr>
          <w:rFonts w:ascii="Aptos" w:hAnsi="Aptos"/>
        </w:rPr>
      </w:pPr>
      <w:r w:rsidRPr="008D6958">
        <w:rPr>
          <w:rFonts w:ascii="Aptos" w:hAnsi="Aptos"/>
        </w:rPr>
        <w:t>Are the input data complete and believable?</w:t>
      </w:r>
    </w:p>
    <w:p w14:paraId="2397A49A" w14:textId="77777777" w:rsidR="00895CDB" w:rsidRPr="008D6958" w:rsidRDefault="00895CDB" w:rsidP="008D6958">
      <w:pPr>
        <w:pStyle w:val="ListParagraph"/>
        <w:numPr>
          <w:ilvl w:val="0"/>
          <w:numId w:val="8"/>
        </w:numPr>
        <w:rPr>
          <w:rFonts w:ascii="Aptos" w:hAnsi="Aptos"/>
        </w:rPr>
      </w:pPr>
      <w:r w:rsidRPr="008D6958">
        <w:rPr>
          <w:rFonts w:ascii="Aptos" w:hAnsi="Aptos"/>
        </w:rPr>
        <w:t>Is the patient worsening despite a low score?</w:t>
      </w:r>
    </w:p>
    <w:p w14:paraId="0B927ABF" w14:textId="77777777" w:rsidR="00895CDB" w:rsidRDefault="00895CDB" w:rsidP="008D6958">
      <w:pPr>
        <w:pStyle w:val="ListParagraph"/>
        <w:numPr>
          <w:ilvl w:val="0"/>
          <w:numId w:val="8"/>
        </w:numPr>
        <w:rPr>
          <w:rFonts w:ascii="Aptos" w:hAnsi="Aptos"/>
        </w:rPr>
      </w:pPr>
      <w:r w:rsidRPr="008D6958">
        <w:rPr>
          <w:rFonts w:ascii="Aptos" w:hAnsi="Aptos"/>
        </w:rPr>
        <w:t>Is the patient stable despite a high score?</w:t>
      </w:r>
    </w:p>
    <w:p w14:paraId="50B16DE7" w14:textId="77777777" w:rsidR="008D6958" w:rsidRPr="008D6958" w:rsidRDefault="008D6958" w:rsidP="008D6958">
      <w:pPr>
        <w:pStyle w:val="ListParagraph"/>
        <w:rPr>
          <w:rFonts w:ascii="Aptos" w:hAnsi="Aptos"/>
        </w:rPr>
      </w:pPr>
    </w:p>
    <w:p w14:paraId="0D7B99DA" w14:textId="77777777"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Integration with Clinical Workflow</w:t>
      </w:r>
    </w:p>
    <w:p w14:paraId="59C9F6F7" w14:textId="25858F35" w:rsidR="00895CDB" w:rsidRDefault="00895CDB" w:rsidP="00861A50">
      <w:pPr>
        <w:rPr>
          <w:rFonts w:ascii="Aptos" w:hAnsi="Aptos"/>
        </w:rPr>
      </w:pPr>
      <w:r w:rsidRPr="00861A50">
        <w:rPr>
          <w:rFonts w:ascii="Aptos" w:hAnsi="Aptos"/>
        </w:rPr>
        <w:t>This tool fits best into routine ICU care as an added risk-awareness step. It can be reviewed during admission, rounds, handoff, or changes in patient status. The score should always be interpreted together with bedside assessment, vital sign trends, labs, organ support needs, and overall trajectory. Its main role is to prompt closer review, not to make decisions on its own.</w:t>
      </w:r>
    </w:p>
    <w:p w14:paraId="4628534F" w14:textId="77777777" w:rsidR="008D6958" w:rsidRPr="00861A50" w:rsidRDefault="008D6958" w:rsidP="00861A50">
      <w:pPr>
        <w:rPr>
          <w:rFonts w:ascii="Aptos" w:hAnsi="Aptos"/>
        </w:rPr>
      </w:pPr>
    </w:p>
    <w:p w14:paraId="34145978" w14:textId="77777777" w:rsidR="00895CDB" w:rsidRPr="008D6958" w:rsidRDefault="00895CDB" w:rsidP="00861A50">
      <w:pPr>
        <w:rPr>
          <w:rFonts w:ascii="Aptos" w:hAnsi="Aptos"/>
          <w:b/>
          <w:bCs/>
          <w:color w:val="153D63" w:themeColor="text2" w:themeTint="E6"/>
        </w:rPr>
      </w:pPr>
      <w:r w:rsidRPr="008D6958">
        <w:rPr>
          <w:rFonts w:ascii="Aptos" w:hAnsi="Aptos"/>
          <w:b/>
          <w:bCs/>
          <w:color w:val="153D63" w:themeColor="text2" w:themeTint="E6"/>
        </w:rPr>
        <w:t>Training Requirements</w:t>
      </w:r>
    </w:p>
    <w:p w14:paraId="17A4C7F3" w14:textId="7E0464E7" w:rsidR="00FF2575" w:rsidRPr="00861A50" w:rsidRDefault="00895CDB" w:rsidP="00861A50">
      <w:pPr>
        <w:rPr>
          <w:rFonts w:ascii="Aptos" w:hAnsi="Aptos"/>
        </w:rPr>
      </w:pPr>
      <w:r w:rsidRPr="00861A50">
        <w:rPr>
          <w:rFonts w:ascii="Aptos" w:hAnsi="Aptos"/>
        </w:rPr>
        <w:t>Users should receive basic training before using the tool. They should understand what the score means, what data go into it, when it should and should not be used, and when it must be overridden. Training should include example cases, common failure scenarios, and clear instruction that the score must never replace clinical judgment in high-stakes decisions.</w:t>
      </w:r>
    </w:p>
    <w:sectPr w:rsidR="00FF2575" w:rsidRPr="00861A50" w:rsidSect="00B71EF6">
      <w:headerReference w:type="default" r:id="rId7"/>
      <w:footerReference w:type="default" r:id="rId8"/>
      <w:pgSz w:w="12240" w:h="15840"/>
      <w:pgMar w:top="118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073C4" w14:textId="77777777" w:rsidR="00682426" w:rsidRDefault="00682426" w:rsidP="00895CDB">
      <w:r>
        <w:separator/>
      </w:r>
    </w:p>
  </w:endnote>
  <w:endnote w:type="continuationSeparator" w:id="0">
    <w:p w14:paraId="55E80BF4" w14:textId="77777777" w:rsidR="00682426" w:rsidRDefault="00682426" w:rsidP="0089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altName w:val="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B05D" w14:textId="4E9322CD" w:rsidR="00455D48" w:rsidRPr="00455D48" w:rsidRDefault="00455D48">
    <w:pPr>
      <w:pStyle w:val="Footer"/>
      <w:jc w:val="center"/>
      <w:rPr>
        <w:rFonts w:ascii="Aptos" w:hAnsi="Aptos"/>
        <w:color w:val="000000" w:themeColor="text1"/>
        <w:sz w:val="22"/>
        <w:szCs w:val="22"/>
      </w:rPr>
    </w:pPr>
    <w:r w:rsidRPr="00455D48">
      <w:rPr>
        <w:rFonts w:ascii="Aptos" w:hAnsi="Aptos"/>
        <w:color w:val="000000" w:themeColor="text1"/>
        <w:sz w:val="22"/>
        <w:szCs w:val="22"/>
      </w:rPr>
      <w:fldChar w:fldCharType="begin"/>
    </w:r>
    <w:r w:rsidRPr="00455D48">
      <w:rPr>
        <w:rFonts w:ascii="Aptos" w:hAnsi="Aptos"/>
        <w:color w:val="000000" w:themeColor="text1"/>
        <w:sz w:val="22"/>
        <w:szCs w:val="22"/>
      </w:rPr>
      <w:instrText xml:space="preserve"> PAGE  \* Arabic  \* MERGEFORMAT </w:instrText>
    </w:r>
    <w:r w:rsidRPr="00455D48">
      <w:rPr>
        <w:rFonts w:ascii="Aptos" w:hAnsi="Aptos"/>
        <w:color w:val="000000" w:themeColor="text1"/>
        <w:sz w:val="22"/>
        <w:szCs w:val="22"/>
      </w:rPr>
      <w:fldChar w:fldCharType="separate"/>
    </w:r>
    <w:r w:rsidRPr="00455D48">
      <w:rPr>
        <w:rFonts w:ascii="Aptos" w:hAnsi="Aptos"/>
        <w:noProof/>
        <w:color w:val="000000" w:themeColor="text1"/>
        <w:sz w:val="22"/>
        <w:szCs w:val="22"/>
      </w:rPr>
      <w:t>2</w:t>
    </w:r>
    <w:r w:rsidRPr="00455D48">
      <w:rPr>
        <w:rFonts w:ascii="Aptos" w:hAnsi="Aptos"/>
        <w:color w:val="000000" w:themeColor="text1"/>
        <w:sz w:val="22"/>
        <w:szCs w:val="22"/>
      </w:rPr>
      <w:fldChar w:fldCharType="end"/>
    </w:r>
    <w:r w:rsidRPr="00455D48">
      <w:rPr>
        <w:rFonts w:ascii="Aptos" w:hAnsi="Aptos"/>
        <w:color w:val="000000" w:themeColor="text1"/>
        <w:sz w:val="22"/>
        <w:szCs w:val="22"/>
      </w:rPr>
      <w:t xml:space="preserve"> of </w:t>
    </w:r>
    <w:r w:rsidRPr="00455D48">
      <w:rPr>
        <w:rFonts w:ascii="Aptos" w:hAnsi="Aptos"/>
        <w:color w:val="000000" w:themeColor="text1"/>
        <w:sz w:val="22"/>
        <w:szCs w:val="22"/>
      </w:rPr>
      <w:fldChar w:fldCharType="begin"/>
    </w:r>
    <w:r w:rsidRPr="00455D48">
      <w:rPr>
        <w:rFonts w:ascii="Aptos" w:hAnsi="Aptos"/>
        <w:color w:val="000000" w:themeColor="text1"/>
        <w:sz w:val="22"/>
        <w:szCs w:val="22"/>
      </w:rPr>
      <w:instrText xml:space="preserve"> NUMPAGES  \* Arabic  \* MERGEFORMAT </w:instrText>
    </w:r>
    <w:r w:rsidRPr="00455D48">
      <w:rPr>
        <w:rFonts w:ascii="Aptos" w:hAnsi="Aptos"/>
        <w:color w:val="000000" w:themeColor="text1"/>
        <w:sz w:val="22"/>
        <w:szCs w:val="22"/>
      </w:rPr>
      <w:fldChar w:fldCharType="separate"/>
    </w:r>
    <w:r w:rsidRPr="00455D48">
      <w:rPr>
        <w:rFonts w:ascii="Aptos" w:hAnsi="Aptos"/>
        <w:noProof/>
        <w:color w:val="000000" w:themeColor="text1"/>
        <w:sz w:val="22"/>
        <w:szCs w:val="22"/>
      </w:rPr>
      <w:t>2</w:t>
    </w:r>
    <w:r w:rsidRPr="00455D48">
      <w:rPr>
        <w:rFonts w:ascii="Aptos" w:hAnsi="Aptos"/>
        <w:color w:val="000000" w:themeColor="text1"/>
        <w:sz w:val="22"/>
        <w:szCs w:val="22"/>
      </w:rPr>
      <w:fldChar w:fldCharType="end"/>
    </w:r>
  </w:p>
  <w:p w14:paraId="6D2E5229" w14:textId="77777777" w:rsidR="00455D48" w:rsidRDefault="00455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E886" w14:textId="77777777" w:rsidR="00682426" w:rsidRDefault="00682426" w:rsidP="00895CDB">
      <w:r>
        <w:separator/>
      </w:r>
    </w:p>
  </w:footnote>
  <w:footnote w:type="continuationSeparator" w:id="0">
    <w:p w14:paraId="6079BE76" w14:textId="77777777" w:rsidR="00682426" w:rsidRDefault="00682426" w:rsidP="00895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8B68" w14:textId="044BF861" w:rsidR="00895CDB" w:rsidRPr="00895CDB" w:rsidRDefault="00895CDB" w:rsidP="00895CDB">
    <w:pPr>
      <w:pStyle w:val="NormalWeb"/>
      <w:jc w:val="right"/>
      <w:rPr>
        <w:rFonts w:ascii="Aptos" w:hAnsi="Aptos"/>
      </w:rPr>
    </w:pPr>
    <w:r w:rsidRPr="00895CDB">
      <w:rPr>
        <w:rStyle w:val="Strong"/>
        <w:rFonts w:ascii="Aptos" w:eastAsiaTheme="majorEastAsia" w:hAnsi="Aptos"/>
      </w:rPr>
      <w:t>Project Team:</w:t>
    </w:r>
    <w:r w:rsidRPr="00895CDB">
      <w:rPr>
        <w:rFonts w:ascii="Aptos" w:hAnsi="Aptos"/>
      </w:rPr>
      <w:t xml:space="preserve"> Rafes Divas (L. Trent, L. Anggara, N. Green)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434"/>
    <w:multiLevelType w:val="hybridMultilevel"/>
    <w:tmpl w:val="EC925D70"/>
    <w:lvl w:ilvl="0" w:tplc="0D2E01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D66D5"/>
    <w:multiLevelType w:val="hybridMultilevel"/>
    <w:tmpl w:val="A24497FA"/>
    <w:lvl w:ilvl="0" w:tplc="0D2E01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20004D"/>
    <w:multiLevelType w:val="multilevel"/>
    <w:tmpl w:val="4D4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B5C14"/>
    <w:multiLevelType w:val="multilevel"/>
    <w:tmpl w:val="747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B44D3"/>
    <w:multiLevelType w:val="hybridMultilevel"/>
    <w:tmpl w:val="194CB64E"/>
    <w:lvl w:ilvl="0" w:tplc="0D2E01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AD1059"/>
    <w:multiLevelType w:val="hybridMultilevel"/>
    <w:tmpl w:val="0F00F602"/>
    <w:lvl w:ilvl="0" w:tplc="0D2E01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C3B05"/>
    <w:multiLevelType w:val="multilevel"/>
    <w:tmpl w:val="C62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C53A8"/>
    <w:multiLevelType w:val="multilevel"/>
    <w:tmpl w:val="576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750143">
    <w:abstractNumId w:val="5"/>
  </w:num>
  <w:num w:numId="2" w16cid:durableId="1978411947">
    <w:abstractNumId w:val="2"/>
  </w:num>
  <w:num w:numId="3" w16cid:durableId="1212880889">
    <w:abstractNumId w:val="6"/>
  </w:num>
  <w:num w:numId="4" w16cid:durableId="2139838603">
    <w:abstractNumId w:val="7"/>
  </w:num>
  <w:num w:numId="5" w16cid:durableId="1757245247">
    <w:abstractNumId w:val="3"/>
  </w:num>
  <w:num w:numId="6" w16cid:durableId="874391579">
    <w:abstractNumId w:val="4"/>
  </w:num>
  <w:num w:numId="7" w16cid:durableId="74599275">
    <w:abstractNumId w:val="1"/>
  </w:num>
  <w:num w:numId="8" w16cid:durableId="68579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575"/>
    <w:rsid w:val="001142F5"/>
    <w:rsid w:val="001C67F6"/>
    <w:rsid w:val="003D4780"/>
    <w:rsid w:val="00455D48"/>
    <w:rsid w:val="00470AC4"/>
    <w:rsid w:val="004A3940"/>
    <w:rsid w:val="005779A8"/>
    <w:rsid w:val="00682426"/>
    <w:rsid w:val="006E371D"/>
    <w:rsid w:val="00861A50"/>
    <w:rsid w:val="00895CDB"/>
    <w:rsid w:val="008D6958"/>
    <w:rsid w:val="009A1268"/>
    <w:rsid w:val="00AF203F"/>
    <w:rsid w:val="00B71EF6"/>
    <w:rsid w:val="00BC197C"/>
    <w:rsid w:val="00D024E0"/>
    <w:rsid w:val="00FA29F3"/>
    <w:rsid w:val="00FF2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CE112"/>
  <w15:chartTrackingRefBased/>
  <w15:docId w15:val="{7F517EED-58E9-E04D-9E76-0C5345075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7F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F2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5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5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5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5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575"/>
    <w:rPr>
      <w:rFonts w:eastAsiaTheme="majorEastAsia" w:cstheme="majorBidi"/>
      <w:color w:val="272727" w:themeColor="text1" w:themeTint="D8"/>
    </w:rPr>
  </w:style>
  <w:style w:type="paragraph" w:styleId="Title">
    <w:name w:val="Title"/>
    <w:basedOn w:val="Normal"/>
    <w:next w:val="Normal"/>
    <w:link w:val="TitleChar"/>
    <w:uiPriority w:val="10"/>
    <w:qFormat/>
    <w:rsid w:val="00FF25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575"/>
    <w:pPr>
      <w:spacing w:before="160"/>
      <w:jc w:val="center"/>
    </w:pPr>
    <w:rPr>
      <w:i/>
      <w:iCs/>
      <w:color w:val="404040" w:themeColor="text1" w:themeTint="BF"/>
    </w:rPr>
  </w:style>
  <w:style w:type="character" w:customStyle="1" w:styleId="QuoteChar">
    <w:name w:val="Quote Char"/>
    <w:basedOn w:val="DefaultParagraphFont"/>
    <w:link w:val="Quote"/>
    <w:uiPriority w:val="29"/>
    <w:rsid w:val="00FF2575"/>
    <w:rPr>
      <w:i/>
      <w:iCs/>
      <w:color w:val="404040" w:themeColor="text1" w:themeTint="BF"/>
    </w:rPr>
  </w:style>
  <w:style w:type="paragraph" w:styleId="ListParagraph">
    <w:name w:val="List Paragraph"/>
    <w:basedOn w:val="Normal"/>
    <w:uiPriority w:val="34"/>
    <w:qFormat/>
    <w:rsid w:val="00FF2575"/>
    <w:pPr>
      <w:ind w:left="720"/>
      <w:contextualSpacing/>
    </w:pPr>
  </w:style>
  <w:style w:type="character" w:styleId="IntenseEmphasis">
    <w:name w:val="Intense Emphasis"/>
    <w:basedOn w:val="DefaultParagraphFont"/>
    <w:uiPriority w:val="21"/>
    <w:qFormat/>
    <w:rsid w:val="00FF2575"/>
    <w:rPr>
      <w:i/>
      <w:iCs/>
      <w:color w:val="0F4761" w:themeColor="accent1" w:themeShade="BF"/>
    </w:rPr>
  </w:style>
  <w:style w:type="paragraph" w:styleId="IntenseQuote">
    <w:name w:val="Intense Quote"/>
    <w:basedOn w:val="Normal"/>
    <w:next w:val="Normal"/>
    <w:link w:val="IntenseQuoteChar"/>
    <w:uiPriority w:val="30"/>
    <w:qFormat/>
    <w:rsid w:val="00FF2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575"/>
    <w:rPr>
      <w:i/>
      <w:iCs/>
      <w:color w:val="0F4761" w:themeColor="accent1" w:themeShade="BF"/>
    </w:rPr>
  </w:style>
  <w:style w:type="character" w:styleId="IntenseReference">
    <w:name w:val="Intense Reference"/>
    <w:basedOn w:val="DefaultParagraphFont"/>
    <w:uiPriority w:val="32"/>
    <w:qFormat/>
    <w:rsid w:val="00FF2575"/>
    <w:rPr>
      <w:b/>
      <w:bCs/>
      <w:smallCaps/>
      <w:color w:val="0F4761" w:themeColor="accent1" w:themeShade="BF"/>
      <w:spacing w:val="5"/>
    </w:rPr>
  </w:style>
  <w:style w:type="paragraph" w:styleId="NormalWeb">
    <w:name w:val="Normal (Web)"/>
    <w:basedOn w:val="Normal"/>
    <w:uiPriority w:val="99"/>
    <w:unhideWhenUsed/>
    <w:rsid w:val="00BC197C"/>
    <w:pPr>
      <w:spacing w:before="100" w:beforeAutospacing="1" w:after="100" w:afterAutospacing="1"/>
    </w:pPr>
  </w:style>
  <w:style w:type="character" w:styleId="Strong">
    <w:name w:val="Strong"/>
    <w:basedOn w:val="DefaultParagraphFont"/>
    <w:uiPriority w:val="22"/>
    <w:qFormat/>
    <w:rsid w:val="00BC197C"/>
    <w:rPr>
      <w:b/>
      <w:bCs/>
    </w:rPr>
  </w:style>
  <w:style w:type="paragraph" w:styleId="Header">
    <w:name w:val="header"/>
    <w:basedOn w:val="Normal"/>
    <w:link w:val="HeaderChar"/>
    <w:uiPriority w:val="99"/>
    <w:unhideWhenUsed/>
    <w:rsid w:val="00895CDB"/>
    <w:pPr>
      <w:tabs>
        <w:tab w:val="center" w:pos="4680"/>
        <w:tab w:val="right" w:pos="9360"/>
      </w:tabs>
    </w:pPr>
  </w:style>
  <w:style w:type="character" w:customStyle="1" w:styleId="HeaderChar">
    <w:name w:val="Header Char"/>
    <w:basedOn w:val="DefaultParagraphFont"/>
    <w:link w:val="Header"/>
    <w:uiPriority w:val="99"/>
    <w:rsid w:val="00895CD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95CDB"/>
    <w:pPr>
      <w:tabs>
        <w:tab w:val="center" w:pos="4680"/>
        <w:tab w:val="right" w:pos="9360"/>
      </w:tabs>
    </w:pPr>
  </w:style>
  <w:style w:type="character" w:customStyle="1" w:styleId="FooterChar">
    <w:name w:val="Footer Char"/>
    <w:basedOn w:val="DefaultParagraphFont"/>
    <w:link w:val="Footer"/>
    <w:uiPriority w:val="99"/>
    <w:rsid w:val="00895CDB"/>
    <w:rPr>
      <w:rFonts w:ascii="Times New Roman" w:eastAsia="Times New Roman" w:hAnsi="Times New Roman" w:cs="Times New Roman"/>
      <w:kern w:val="0"/>
      <w14:ligatures w14:val="none"/>
    </w:rPr>
  </w:style>
  <w:style w:type="table" w:styleId="GridTable1Light">
    <w:name w:val="Grid Table 1 Light"/>
    <w:basedOn w:val="TableNormal"/>
    <w:uiPriority w:val="46"/>
    <w:rsid w:val="00861A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8D69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8D69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163</Words>
  <Characters>5868</Characters>
  <Application>Microsoft Office Word</Application>
  <DocSecurity>0</DocSecurity>
  <Lines>163</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Anggara, Ledi</dc:creator>
  <cp:keywords/>
  <dc:description/>
  <cp:lastModifiedBy>Anggara, Ledi</cp:lastModifiedBy>
  <cp:revision>68</cp:revision>
  <dcterms:created xsi:type="dcterms:W3CDTF">2026-03-18T13:18:00Z</dcterms:created>
  <dcterms:modified xsi:type="dcterms:W3CDTF">2026-03-18T13:38:00Z</dcterms:modified>
</cp:coreProperties>
</file>