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KURUMSAL VERİ YÖNETİMİ VE AÇIK VERİ YÖNETMELİĞİ</w:t>
      </w:r>
    </w:p>
    <w:p>
      <w:pPr>
        <w:pStyle w:val="Heading1"/>
      </w:pPr>
      <w:r>
        <w:t>BİRİNCİ BÖLÜM</w:t>
      </w:r>
    </w:p>
    <w:p>
      <w:pPr>
        <w:pStyle w:val="Heading1"/>
      </w:pPr>
      <w:r>
        <w:t>Amaç, Kapsam, Dayanak ve Tanımlar</w:t>
      </w:r>
    </w:p>
    <w:p>
      <w:pPr>
        <w:pStyle w:val="Heading2"/>
      </w:pPr>
      <w:r>
        <w:t>Amaç</w:t>
      </w:r>
    </w:p>
    <w:p>
      <w:r>
        <w:t>MADDE 1- (1) Bu Yönetmeliğin amacı, kurum bünyesinde üretilen ve işlenen verilerin güvenli, tutarlı ve birlikte çalışabilir biçimde yönetilmesine; kamuya açık verilerin şeffaflık ve hesap verebilirlik ilkeleri çerçevesinde paylaşılmasına ilişkin usul ve esasları düzenlemektir.</w:t>
      </w:r>
    </w:p>
    <w:p>
      <w:pPr>
        <w:pStyle w:val="Heading2"/>
      </w:pPr>
      <w:r>
        <w:t>Kapsam</w:t>
      </w:r>
    </w:p>
    <w:p>
      <w:r>
        <w:t>MADDE 2- (1) Bu Yönetmelik, Kurumun merkez ve taşra teşkilatında üretilen, işlenen veya saklanan tüm kurumsal verileri ve bu verilerin açık veri olarak yayımlanmasına ilişkin süreçleri kapsar.</w:t>
      </w:r>
    </w:p>
    <w:p>
      <w:pPr>
        <w:pStyle w:val="Heading2"/>
      </w:pPr>
      <w:r>
        <w:t>Dayanak</w:t>
      </w:r>
    </w:p>
    <w:p>
      <w:r>
        <w:t>MADDE 3- (1) Bu Yönetmelik, T.C. Anayasasının 123 üncü maddesi, 5018 sayılı Kamu Mali Yönetimi ve Kontrol Kanununun 9 uncu maddesi ile 1 sayılı Cumhurbaşkanlığı Teşkilatı Hakkında Cumhurbaşkanlığı Kararnamesinin 19 uncu maddesine dayanılarak hazırlanmıştır.</w:t>
      </w:r>
    </w:p>
    <w:p>
      <w:pPr>
        <w:pStyle w:val="Heading2"/>
      </w:pPr>
      <w:r>
        <w:t>Tanımlar</w:t>
      </w:r>
    </w:p>
    <w:p>
      <w:r>
        <w:t>MADDE 4- (1) Bu Yönetmelikte geçen;</w:t>
        <w:br/>
        <w:t>a) Açık veri: Herhangi bir kısıtlama olmaksızın herkesin erişimine, kullanımına ve paylaşımına açık olan veriyi,</w:t>
        <w:br/>
        <w:t>b) Kurum: Ulusal Veri ve İstatistik Genel Müdürlüğünü,</w:t>
        <w:br/>
        <w:t>c) Kurumsal veri: Kurumun görevleri kapsamında ürettiği veya edindiği her türlü veriyi,</w:t>
        <w:br/>
        <w:t>ifade eder.</w:t>
      </w:r>
    </w:p>
    <w:p>
      <w:pPr>
        <w:pStyle w:val="Heading1"/>
      </w:pPr>
      <w:r>
        <w:t>İKİNCİ BÖLÜM</w:t>
      </w:r>
    </w:p>
    <w:p>
      <w:pPr>
        <w:pStyle w:val="Heading1"/>
      </w:pPr>
      <w:r>
        <w:t>Genel Esaslar</w:t>
      </w:r>
    </w:p>
    <w:p>
      <w:pPr>
        <w:pStyle w:val="Heading2"/>
      </w:pPr>
      <w:r>
        <w:t>Veri Sorumluluğu</w:t>
      </w:r>
    </w:p>
    <w:p>
      <w:r>
        <w:t>MADDE 5- (1) Kurum, sorumluluğundaki verilerin doğruluğundan, güncelliğinden ve güvenliğinden sorumludur.</w:t>
        <w:br/>
        <w:t>(2) Veri sorumluluğu, ilgili birim amirleri tarafından yürütülür.</w:t>
      </w:r>
    </w:p>
    <w:p>
      <w:pPr>
        <w:pStyle w:val="Heading2"/>
      </w:pPr>
      <w:r>
        <w:t>Veri Paylaşımı</w:t>
      </w:r>
    </w:p>
    <w:p>
      <w:r>
        <w:t>MADDE 6- (1) Kurum verileri, ilgili birimler dışındaki kişi ve kurumlarla paylaşılamaz.</w:t>
        <w:br/>
        <w:t>(2) Kişisel verilerin işlenmesinde ilgili mevzuat hükümlerine uyulur.</w:t>
      </w:r>
    </w:p>
    <w:p>
      <w:pPr>
        <w:pStyle w:val="Heading2"/>
      </w:pPr>
      <w:r>
        <w:t>Veri Kalitesi ve Güvenliği</w:t>
      </w:r>
    </w:p>
    <w:p>
      <w:r>
        <w:t>MADDE 7- (1) Kurumsal veriler, doğruluk, tutarlılık, güncellik ve eksiksizlik ilkelerine uygun olarak yönetilir.</w:t>
        <w:br/>
        <w:t>(2) Veri kalitesinin sağlanmasından ilgili birim sorumludur.</w:t>
        <w:br/>
        <w:t>(3) Verilerin güvenliği, ilgili mevzuatta belirtilen bilgi güvenliği standartlarına uygun olarak sağlanır.</w:t>
      </w:r>
    </w:p>
    <w:p>
      <w:pPr>
        <w:pStyle w:val="Heading2"/>
      </w:pPr>
      <w:r>
        <w:t>Arşivleme Esasları</w:t>
      </w:r>
    </w:p>
    <w:p>
      <w:r>
        <w:t>MADDE 8- (1) Kurumsal veriler, ilgili mevzuatta öngörülen sürelerle sınırlı olmak kaydıyla arşivlenir.</w:t>
        <w:br/>
        <w:t>(2) Arşivleme süresi dolan veriler, ilgili mevzuat hükümlerine göre imha edilir.</w:t>
      </w:r>
    </w:p>
    <w:p>
      <w:pPr>
        <w:pStyle w:val="Heading1"/>
      </w:pPr>
      <w:r>
        <w:t>ÜÇÜNCÜ BÖLÜM</w:t>
      </w:r>
    </w:p>
    <w:p>
      <w:pPr>
        <w:pStyle w:val="Heading1"/>
      </w:pPr>
      <w:r>
        <w:t>Görev ve Sorumluluklar</w:t>
      </w:r>
    </w:p>
    <w:p>
      <w:pPr>
        <w:pStyle w:val="Heading2"/>
      </w:pPr>
      <w:r>
        <w:t>Birim Sorumlulukları</w:t>
      </w:r>
    </w:p>
    <w:p>
      <w:r>
        <w:t>MADDE 9- (1) İlgili birimler, sorumluluklarındaki verilerin toplanması, güncellenmesi ve doğruluğunun sağlanmasından sorumludur.</w:t>
        <w:br/>
        <w:t>(2) Birimler, veri güvenliği ihlallerini derhal ilgili birime bildirmekle yükümlüdür.</w:t>
      </w:r>
    </w:p>
    <w:p>
      <w:pPr>
        <w:pStyle w:val="Heading2"/>
      </w:pPr>
      <w:r>
        <w:t>Üst Yönetim Sorumluluğu</w:t>
      </w:r>
    </w:p>
    <w:p>
      <w:r>
        <w:t>MADDE 10- (1) Üst yönetim, bu Yönetmelik kapsamındaki veri yönetimi politikalarının uygulanmasını gözetir.</w:t>
      </w:r>
    </w:p>
    <w:p>
      <w:pPr>
        <w:pStyle w:val="Heading1"/>
      </w:pPr>
      <w:r>
        <w:t>DÖRDÜNCÜ BÖLÜM</w:t>
      </w:r>
    </w:p>
    <w:p>
      <w:pPr>
        <w:pStyle w:val="Heading1"/>
      </w:pPr>
      <w:r>
        <w:t>Çeşitli ve Son Hükümler</w:t>
      </w:r>
    </w:p>
    <w:p>
      <w:pPr>
        <w:pStyle w:val="Heading2"/>
      </w:pPr>
      <w:r>
        <w:t>Yürürlükten Kaldırılan Mevzuat</w:t>
      </w:r>
    </w:p>
    <w:p>
      <w:r>
        <w:t>MADDE 11- (1) 3/2/2011 tarihli ve 27835 sayılı Resmî Gazetede yayımlanan Kurumsal Veri Yönetimi Yönergesi yürürlükten kaldırılmıştır.</w:t>
      </w:r>
    </w:p>
    <w:p>
      <w:pPr>
        <w:pStyle w:val="Heading2"/>
      </w:pPr>
      <w:r>
        <w:t>Yürürlük</w:t>
      </w:r>
    </w:p>
    <w:p>
      <w:r>
        <w:t>MADDE 12- (1) Bu Yönetmelik yayımı tarihinde yürürlüğe girer.</w:t>
      </w:r>
    </w:p>
    <w:p>
      <w:pPr>
        <w:pStyle w:val="Heading2"/>
      </w:pPr>
      <w:r>
        <w:t>Yürütme</w:t>
      </w:r>
    </w:p>
    <w:p>
      <w:r>
        <w:t>MADDE 13- (1) Bu Yönetmelik hükümlerini Ulusal Veri ve İstatistik Genel Müdürlüğü yürütür.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Ulusal Veri ve İstatistik Genel Müdürlüğü — Sayfa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T.C. ULUSAL VERİ VE İSTATİSTİK GENEL MÜDÜRLÜĞÜ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