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NeighborBridge Funding and Scaling Roadmap (3 Years)</w:t>
      </w:r>
    </w:p>
    <w:p>
      <w:r>
        <w:t>(English &amp; Chinese Version)</w:t>
      </w:r>
    </w:p>
    <w:p>
      <w:pPr>
        <w:pStyle w:val="Heading2"/>
      </w:pPr>
      <w:r>
        <w:t>Year 1 – Pilot &amp; Proof (Foundation Phase)</w:t>
      </w:r>
    </w:p>
    <w:p>
      <w:r>
        <w:t>Goal: Build credibility, measurable ROI, and stable revenue base.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Key Actions</w:t>
            </w:r>
          </w:p>
        </w:tc>
        <w:tc>
          <w:tcPr>
            <w:tcW w:type="dxa" w:w="2880"/>
          </w:tcPr>
          <w:p>
            <w:r>
              <w:t>Funding / Partner Sources</w:t>
            </w:r>
          </w:p>
        </w:tc>
      </w:tr>
      <w:tr>
        <w:tc>
          <w:tcPr>
            <w:tcW w:type="dxa" w:w="2880"/>
          </w:tcPr>
          <w:p>
            <w:r>
              <w:t>Clinical anchor</w:t>
            </w:r>
          </w:p>
        </w:tc>
        <w:tc>
          <w:tcPr>
            <w:tcW w:type="dxa" w:w="2880"/>
          </w:tcPr>
          <w:p>
            <w:r>
              <w:t>Continue FQHC work (2 days/week); add one PLLC/telehealth half-day for FASD/ADHD patients</w:t>
            </w:r>
          </w:p>
        </w:tc>
        <w:tc>
          <w:tcPr>
            <w:tcW w:type="dxa" w:w="2880"/>
          </w:tcPr>
          <w:p>
            <w:r>
              <w:t>FQHC salary + private billings</w:t>
            </w:r>
          </w:p>
        </w:tc>
      </w:tr>
      <w:tr>
        <w:tc>
          <w:tcPr>
            <w:tcW w:type="dxa" w:w="2880"/>
          </w:tcPr>
          <w:p>
            <w:r>
              <w:t>Education pilot</w:t>
            </w:r>
          </w:p>
        </w:tc>
        <w:tc>
          <w:tcPr>
            <w:tcW w:type="dxa" w:w="2880"/>
          </w:tcPr>
          <w:p>
            <w:r>
              <w:t>Launch NeighborBridge Education 3-tier family program with NCFASD Informed support</w:t>
            </w:r>
          </w:p>
        </w:tc>
        <w:tc>
          <w:tcPr>
            <w:tcW w:type="dxa" w:w="2880"/>
          </w:tcPr>
          <w:p>
            <w:r>
              <w:t>Family tuition (HSA/FSA) + small foundation mini-grants</w:t>
            </w:r>
          </w:p>
        </w:tc>
      </w:tr>
      <w:tr>
        <w:tc>
          <w:tcPr>
            <w:tcW w:type="dxa" w:w="2880"/>
          </w:tcPr>
          <w:p>
            <w:r>
              <w:t>Community integration</w:t>
            </w:r>
          </w:p>
        </w:tc>
        <w:tc>
          <w:tcPr>
            <w:tcW w:type="dxa" w:w="2880"/>
          </w:tcPr>
          <w:p>
            <w:r>
              <w:t>Recruit 2–3 CHWs through church/faith networks for 90-day pilot</w:t>
            </w:r>
          </w:p>
        </w:tc>
        <w:tc>
          <w:tcPr>
            <w:tcW w:type="dxa" w:w="2880"/>
          </w:tcPr>
          <w:p>
            <w:r>
              <w:t>Trillium / Alliance Tailored Plan reinvestment</w:t>
            </w:r>
          </w:p>
        </w:tc>
      </w:tr>
      <w:tr>
        <w:tc>
          <w:tcPr>
            <w:tcW w:type="dxa" w:w="2880"/>
          </w:tcPr>
          <w:p>
            <w:r>
              <w:t>Data &amp; outcomes</w:t>
            </w:r>
          </w:p>
        </w:tc>
        <w:tc>
          <w:tcPr>
            <w:tcW w:type="dxa" w:w="2880"/>
          </w:tcPr>
          <w:p>
            <w:r>
              <w:t>Track 30 families; measure attendance, satisfaction, and follow-up adherence</w:t>
            </w:r>
          </w:p>
        </w:tc>
        <w:tc>
          <w:tcPr>
            <w:tcW w:type="dxa" w:w="2880"/>
          </w:tcPr>
          <w:p>
            <w:r>
              <w:t>Basis for future grants</w:t>
            </w:r>
          </w:p>
        </w:tc>
      </w:tr>
    </w:tbl>
    <w:p>
      <w:r>
        <w:t>Outcome: 3 funded contracts + first $350k–$400k annualized revenue; evidence packet ready for Year 2 expansion.</w:t>
      </w:r>
    </w:p>
    <w:p>
      <w:pPr>
        <w:pStyle w:val="Heading2"/>
      </w:pPr>
      <w:r>
        <w:t>Year 2 – Regional Scaling (Growth Phase)</w:t>
      </w:r>
    </w:p>
    <w:p>
      <w:r>
        <w:t>Goal: Replicate proven pilot across multiple counties; diversify funding.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Key Actions</w:t>
            </w:r>
          </w:p>
        </w:tc>
        <w:tc>
          <w:tcPr>
            <w:tcW w:type="dxa" w:w="2880"/>
          </w:tcPr>
          <w:p>
            <w:r>
              <w:t>Funding / Partner Sources</w:t>
            </w:r>
          </w:p>
        </w:tc>
      </w:tr>
      <w:tr>
        <w:tc>
          <w:tcPr>
            <w:tcW w:type="dxa" w:w="2880"/>
          </w:tcPr>
          <w:p>
            <w:r>
              <w:t>Tailored Plan integration</w:t>
            </w:r>
          </w:p>
        </w:tc>
        <w:tc>
          <w:tcPr>
            <w:tcW w:type="dxa" w:w="2880"/>
          </w:tcPr>
          <w:p>
            <w:r>
              <w:t>Sign 1–2 county contracts for CHW training &amp; family navigation</w:t>
            </w:r>
          </w:p>
        </w:tc>
        <w:tc>
          <w:tcPr>
            <w:tcW w:type="dxa" w:w="2880"/>
          </w:tcPr>
          <w:p>
            <w:r>
              <w:t>Medicaid Tailored Plan community reinvestment funds</w:t>
            </w:r>
          </w:p>
        </w:tc>
      </w:tr>
      <w:tr>
        <w:tc>
          <w:tcPr>
            <w:tcW w:type="dxa" w:w="2880"/>
          </w:tcPr>
          <w:p>
            <w:r>
              <w:t>FQHC partnerships</w:t>
            </w:r>
          </w:p>
        </w:tc>
        <w:tc>
          <w:tcPr>
            <w:tcW w:type="dxa" w:w="2880"/>
          </w:tcPr>
          <w:p>
            <w:r>
              <w:t>Subcontract under HRSA Enabling Services or BHI supplement</w:t>
            </w:r>
          </w:p>
        </w:tc>
        <w:tc>
          <w:tcPr>
            <w:tcW w:type="dxa" w:w="2880"/>
          </w:tcPr>
          <w:p>
            <w:r>
              <w:t>$75k–$150k per site</w:t>
            </w:r>
          </w:p>
        </w:tc>
      </w:tr>
      <w:tr>
        <w:tc>
          <w:tcPr>
            <w:tcW w:type="dxa" w:w="2880"/>
          </w:tcPr>
          <w:p>
            <w:r>
              <w:t>NeighborBridge Education expansion</w:t>
            </w:r>
          </w:p>
        </w:tc>
        <w:tc>
          <w:tcPr>
            <w:tcW w:type="dxa" w:w="2880"/>
          </w:tcPr>
          <w:p>
            <w:r>
              <w:t>Offer CHW &amp; school staff courses (non-PHI)</w:t>
            </w:r>
          </w:p>
        </w:tc>
        <w:tc>
          <w:tcPr>
            <w:tcW w:type="dxa" w:w="2880"/>
          </w:tcPr>
          <w:p>
            <w:r>
              <w:t>Tuition + local public-health funds</w:t>
            </w:r>
          </w:p>
        </w:tc>
      </w:tr>
      <w:tr>
        <w:tc>
          <w:tcPr>
            <w:tcW w:type="dxa" w:w="2880"/>
          </w:tcPr>
          <w:p>
            <w:r>
              <w:t>Institutional research tie-in</w:t>
            </w:r>
          </w:p>
        </w:tc>
        <w:tc>
          <w:tcPr>
            <w:tcW w:type="dxa" w:w="2880"/>
          </w:tcPr>
          <w:p>
            <w:r>
              <w:t>Partner Duke/Harvard/Yale for evaluation study</w:t>
            </w:r>
          </w:p>
        </w:tc>
        <w:tc>
          <w:tcPr>
            <w:tcW w:type="dxa" w:w="2880"/>
          </w:tcPr>
          <w:p>
            <w:r>
              <w:t>HRSA or NC DHHS grant collaboration</w:t>
            </w:r>
          </w:p>
        </w:tc>
      </w:tr>
    </w:tbl>
    <w:p>
      <w:r>
        <w:t>Outcome: 4–6 active contracts; gross revenue ≈ $650k–$750k; formal evaluation data + press coverage.</w:t>
      </w:r>
    </w:p>
    <w:p>
      <w:pPr>
        <w:pStyle w:val="Heading2"/>
      </w:pPr>
      <w:r>
        <w:t>Year 3 – Network &amp; Licensing (Scale Phase)</w:t>
      </w:r>
    </w:p>
    <w:p>
      <w:r>
        <w:t>Goal: Establish statewide or multi-state youth behavioral-health education network.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Key Actions</w:t>
            </w:r>
          </w:p>
        </w:tc>
        <w:tc>
          <w:tcPr>
            <w:tcW w:type="dxa" w:w="2880"/>
          </w:tcPr>
          <w:p>
            <w:r>
              <w:t>Funding / Partner Sources</w:t>
            </w:r>
          </w:p>
        </w:tc>
      </w:tr>
      <w:tr>
        <w:tc>
          <w:tcPr>
            <w:tcW w:type="dxa" w:w="2880"/>
          </w:tcPr>
          <w:p>
            <w:r>
              <w:t>State-level contracts</w:t>
            </w:r>
          </w:p>
        </w:tc>
        <w:tc>
          <w:tcPr>
            <w:tcW w:type="dxa" w:w="2880"/>
          </w:tcPr>
          <w:p>
            <w:r>
              <w:t>Tailored Plans adopt NeighborBridge as reimbursable family-training vendor</w:t>
            </w:r>
          </w:p>
        </w:tc>
        <w:tc>
          <w:tcPr>
            <w:tcW w:type="dxa" w:w="2880"/>
          </w:tcPr>
          <w:p>
            <w:r>
              <w:t>DHHS / Medicaid innovation grants</w:t>
            </w:r>
          </w:p>
        </w:tc>
      </w:tr>
      <w:tr>
        <w:tc>
          <w:tcPr>
            <w:tcW w:type="dxa" w:w="2880"/>
          </w:tcPr>
          <w:p>
            <w:r>
              <w:t>Education IP licensing</w:t>
            </w:r>
          </w:p>
        </w:tc>
        <w:tc>
          <w:tcPr>
            <w:tcW w:type="dxa" w:w="2880"/>
          </w:tcPr>
          <w:p>
            <w:r>
              <w:t>License training dashboards &amp; curriculum to FQHCs or county health</w:t>
            </w:r>
          </w:p>
        </w:tc>
        <w:tc>
          <w:tcPr>
            <w:tcW w:type="dxa" w:w="2880"/>
          </w:tcPr>
          <w:p>
            <w:r>
              <w:t>$5–10k / site annual license</w:t>
            </w:r>
          </w:p>
        </w:tc>
      </w:tr>
      <w:tr>
        <w:tc>
          <w:tcPr>
            <w:tcW w:type="dxa" w:w="2880"/>
          </w:tcPr>
          <w:p>
            <w:r>
              <w:t>CME &amp; certification</w:t>
            </w:r>
          </w:p>
        </w:tc>
        <w:tc>
          <w:tcPr>
            <w:tcW w:type="dxa" w:w="2880"/>
          </w:tcPr>
          <w:p>
            <w:r>
              <w:t>Partner with university CME offices for 'FASD-Informed Care'</w:t>
            </w:r>
          </w:p>
        </w:tc>
        <w:tc>
          <w:tcPr>
            <w:tcW w:type="dxa" w:w="2880"/>
          </w:tcPr>
          <w:p>
            <w:r>
              <w:t>CME revenue + institutional fees</w:t>
            </w:r>
          </w:p>
        </w:tc>
      </w:tr>
      <w:tr>
        <w:tc>
          <w:tcPr>
            <w:tcW w:type="dxa" w:w="2880"/>
          </w:tcPr>
          <w:p>
            <w:r>
              <w:t>Philanthropic scaling</w:t>
            </w:r>
          </w:p>
        </w:tc>
        <w:tc>
          <w:tcPr>
            <w:tcW w:type="dxa" w:w="2880"/>
          </w:tcPr>
          <w:p>
            <w:r>
              <w:t>Secure multi-year Duke Endowment / Reynolds Trust funding</w:t>
            </w:r>
          </w:p>
        </w:tc>
        <w:tc>
          <w:tcPr>
            <w:tcW w:type="dxa" w:w="2880"/>
          </w:tcPr>
          <w:p>
            <w:r>
              <w:t>$250k–$500k / year</w:t>
            </w:r>
          </w:p>
        </w:tc>
      </w:tr>
    </w:tbl>
    <w:p>
      <w:r>
        <w:t>Outcome: Statewide footprint; $1 million+ annual revenue; NeighborBridge recognized as NC model for FASD/ASD/IDD community education.</w:t>
      </w:r>
    </w:p>
    <w:p>
      <w:r>
        <w:br w:type="page"/>
      </w:r>
    </w:p>
    <w:p>
      <w:pPr>
        <w:pStyle w:val="Heading1"/>
      </w:pPr>
      <w:r>
        <w:t>NeighborBridge 三年资金与扩展路线图</w:t>
      </w:r>
    </w:p>
    <w:p>
      <w:r>
        <w:t>（中英文版本）</w:t>
      </w:r>
    </w:p>
    <w:p>
      <w:pPr>
        <w:pStyle w:val="Heading2"/>
      </w:pPr>
      <w:r>
        <w:t>第一年：试点与验证</w:t>
      </w:r>
    </w:p>
    <w:p>
      <w:r>
        <w:t>目标：建立信任度与可测ROI，实现稳定收入基础。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重点方向</w:t>
            </w:r>
          </w:p>
        </w:tc>
        <w:tc>
          <w:tcPr>
            <w:tcW w:type="dxa" w:w="2880"/>
          </w:tcPr>
          <w:p>
            <w:r>
              <w:t>关键行动</w:t>
            </w:r>
          </w:p>
        </w:tc>
        <w:tc>
          <w:tcPr>
            <w:tcW w:type="dxa" w:w="2880"/>
          </w:tcPr>
          <w:p>
            <w:r>
              <w:t>资金 / 合作来源</w:t>
            </w:r>
          </w:p>
        </w:tc>
      </w:tr>
      <w:tr>
        <w:tc>
          <w:tcPr>
            <w:tcW w:type="dxa" w:w="2880"/>
          </w:tcPr>
          <w:p>
            <w:r>
              <w:t>临床锚点</w:t>
            </w:r>
          </w:p>
        </w:tc>
        <w:tc>
          <w:tcPr>
            <w:tcW w:type="dxa" w:w="2880"/>
          </w:tcPr>
          <w:p>
            <w:r>
              <w:t>维持每周两天FQHC门诊，增加半天远程诊疗</w:t>
            </w:r>
          </w:p>
        </w:tc>
        <w:tc>
          <w:tcPr>
            <w:tcW w:type="dxa" w:w="2880"/>
          </w:tcPr>
          <w:p>
            <w:r>
              <w:t>FQHC 薪资 + 私人账单</w:t>
            </w:r>
          </w:p>
        </w:tc>
      </w:tr>
      <w:tr>
        <w:tc>
          <w:tcPr>
            <w:tcW w:type="dxa" w:w="2880"/>
          </w:tcPr>
          <w:p>
            <w:r>
              <w:t>教育试点</w:t>
            </w:r>
          </w:p>
        </w:tc>
        <w:tc>
          <w:tcPr>
            <w:tcW w:type="dxa" w:w="2880"/>
          </w:tcPr>
          <w:p>
            <w:r>
              <w:t>启动NeighborBridge Education三层家长课程，与NCFASD Informed合作</w:t>
            </w:r>
          </w:p>
        </w:tc>
        <w:tc>
          <w:tcPr>
            <w:tcW w:type="dxa" w:w="2880"/>
          </w:tcPr>
          <w:p>
            <w:r>
              <w:t>家长学费（HSA/FSA）+ 小型基金会资助</w:t>
            </w:r>
          </w:p>
        </w:tc>
      </w:tr>
      <w:tr>
        <w:tc>
          <w:tcPr>
            <w:tcW w:type="dxa" w:w="2880"/>
          </w:tcPr>
          <w:p>
            <w:r>
              <w:t>社区整合</w:t>
            </w:r>
          </w:p>
        </w:tc>
        <w:tc>
          <w:tcPr>
            <w:tcW w:type="dxa" w:w="2880"/>
          </w:tcPr>
          <w:p>
            <w:r>
              <w:t>通过教会网络招募2–3名CHW进行90天试点</w:t>
            </w:r>
          </w:p>
        </w:tc>
        <w:tc>
          <w:tcPr>
            <w:tcW w:type="dxa" w:w="2880"/>
          </w:tcPr>
          <w:p>
            <w:r>
              <w:t>Trillium / Alliance Tailored Plan再投资</w:t>
            </w:r>
          </w:p>
        </w:tc>
      </w:tr>
      <w:tr>
        <w:tc>
          <w:tcPr>
            <w:tcW w:type="dxa" w:w="2880"/>
          </w:tcPr>
          <w:p>
            <w:r>
              <w:t>数据与成果</w:t>
            </w:r>
          </w:p>
        </w:tc>
        <w:tc>
          <w:tcPr>
            <w:tcW w:type="dxa" w:w="2880"/>
          </w:tcPr>
          <w:p>
            <w:r>
              <w:t>追踪30个家庭的出勤率、满意度与依从性</w:t>
            </w:r>
          </w:p>
        </w:tc>
        <w:tc>
          <w:tcPr>
            <w:tcW w:type="dxa" w:w="2880"/>
          </w:tcPr>
          <w:p>
            <w:r>
              <w:t>后续申请更大项目依据</w:t>
            </w:r>
          </w:p>
        </w:tc>
      </w:tr>
    </w:tbl>
    <w:p>
      <w:pPr>
        <w:pStyle w:val="Heading2"/>
      </w:pPr>
      <w:r>
        <w:t>第二年：区域扩展</w:t>
      </w:r>
    </w:p>
    <w:p>
      <w:r>
        <w:t>目标：在多个县复制成功试点，扩大资金来源。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重点方向</w:t>
            </w:r>
          </w:p>
        </w:tc>
        <w:tc>
          <w:tcPr>
            <w:tcW w:type="dxa" w:w="2880"/>
          </w:tcPr>
          <w:p>
            <w:r>
              <w:t>关键行动</w:t>
            </w:r>
          </w:p>
        </w:tc>
        <w:tc>
          <w:tcPr>
            <w:tcW w:type="dxa" w:w="2880"/>
          </w:tcPr>
          <w:p>
            <w:r>
              <w:t>资金 / 合作来源</w:t>
            </w:r>
          </w:p>
        </w:tc>
      </w:tr>
      <w:tr>
        <w:tc>
          <w:tcPr>
            <w:tcW w:type="dxa" w:w="2880"/>
          </w:tcPr>
          <w:p>
            <w:r>
              <w:t>Tailored Plan整合</w:t>
            </w:r>
          </w:p>
        </w:tc>
        <w:tc>
          <w:tcPr>
            <w:tcW w:type="dxa" w:w="2880"/>
          </w:tcPr>
          <w:p>
            <w:r>
              <w:t>签署1–2个县级CHW培训与家庭导航合同</w:t>
            </w:r>
          </w:p>
        </w:tc>
        <w:tc>
          <w:tcPr>
            <w:tcW w:type="dxa" w:w="2880"/>
          </w:tcPr>
          <w:p>
            <w:r>
              <w:t>Medicaid再投资资金</w:t>
            </w:r>
          </w:p>
        </w:tc>
      </w:tr>
      <w:tr>
        <w:tc>
          <w:tcPr>
            <w:tcW w:type="dxa" w:w="2880"/>
          </w:tcPr>
          <w:p>
            <w:r>
              <w:t>FQHC合作</w:t>
            </w:r>
          </w:p>
        </w:tc>
        <w:tc>
          <w:tcPr>
            <w:tcW w:type="dxa" w:w="2880"/>
          </w:tcPr>
          <w:p>
            <w:r>
              <w:t>作为HRSA社区外展或BHI补助的分包商</w:t>
            </w:r>
          </w:p>
        </w:tc>
        <w:tc>
          <w:tcPr>
            <w:tcW w:type="dxa" w:w="2880"/>
          </w:tcPr>
          <w:p>
            <w:r>
              <w:t>$75k–$150k每站点</w:t>
            </w:r>
          </w:p>
        </w:tc>
      </w:tr>
      <w:tr>
        <w:tc>
          <w:tcPr>
            <w:tcW w:type="dxa" w:w="2880"/>
          </w:tcPr>
          <w:p>
            <w:r>
              <w:t>教育扩展</w:t>
            </w:r>
          </w:p>
        </w:tc>
        <w:tc>
          <w:tcPr>
            <w:tcW w:type="dxa" w:w="2880"/>
          </w:tcPr>
          <w:p>
            <w:r>
              <w:t>面向CHW与学校员工提供非PHI课程</w:t>
            </w:r>
          </w:p>
        </w:tc>
        <w:tc>
          <w:tcPr>
            <w:tcW w:type="dxa" w:w="2880"/>
          </w:tcPr>
          <w:p>
            <w:r>
              <w:t>学费 + 地方公共卫生经费</w:t>
            </w:r>
          </w:p>
        </w:tc>
      </w:tr>
      <w:tr>
        <w:tc>
          <w:tcPr>
            <w:tcW w:type="dxa" w:w="2880"/>
          </w:tcPr>
          <w:p>
            <w:r>
              <w:t>学术合作</w:t>
            </w:r>
          </w:p>
        </w:tc>
        <w:tc>
          <w:tcPr>
            <w:tcW w:type="dxa" w:w="2880"/>
          </w:tcPr>
          <w:p>
            <w:r>
              <w:t>与Duke/Harvard/Yale合作进行评估研究</w:t>
            </w:r>
          </w:p>
        </w:tc>
        <w:tc>
          <w:tcPr>
            <w:tcW w:type="dxa" w:w="2880"/>
          </w:tcPr>
          <w:p>
            <w:r>
              <w:t>HRSA或NC DHHS资助</w:t>
            </w:r>
          </w:p>
        </w:tc>
      </w:tr>
    </w:tbl>
    <w:p>
      <w:pPr>
        <w:pStyle w:val="Heading2"/>
      </w:pPr>
      <w:r>
        <w:t>第三年：网络与授权</w:t>
      </w:r>
    </w:p>
    <w:p>
      <w:r>
        <w:t>目标：建立全州或跨州青少年心理健康教育网络。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重点方向</w:t>
            </w:r>
          </w:p>
        </w:tc>
        <w:tc>
          <w:tcPr>
            <w:tcW w:type="dxa" w:w="2880"/>
          </w:tcPr>
          <w:p>
            <w:r>
              <w:t>关键行动</w:t>
            </w:r>
          </w:p>
        </w:tc>
        <w:tc>
          <w:tcPr>
            <w:tcW w:type="dxa" w:w="2880"/>
          </w:tcPr>
          <w:p>
            <w:r>
              <w:t>资金 / 合作来源</w:t>
            </w:r>
          </w:p>
        </w:tc>
      </w:tr>
      <w:tr>
        <w:tc>
          <w:tcPr>
            <w:tcW w:type="dxa" w:w="2880"/>
          </w:tcPr>
          <w:p>
            <w:r>
              <w:t>州级合同</w:t>
            </w:r>
          </w:p>
        </w:tc>
        <w:tc>
          <w:tcPr>
            <w:tcW w:type="dxa" w:w="2880"/>
          </w:tcPr>
          <w:p>
            <w:r>
              <w:t>被Tailored Plans采纳为家庭教育可报销供应商</w:t>
            </w:r>
          </w:p>
        </w:tc>
        <w:tc>
          <w:tcPr>
            <w:tcW w:type="dxa" w:w="2880"/>
          </w:tcPr>
          <w:p>
            <w:r>
              <w:t>DHHS / Medicaid创新基金</w:t>
            </w:r>
          </w:p>
        </w:tc>
      </w:tr>
      <w:tr>
        <w:tc>
          <w:tcPr>
            <w:tcW w:type="dxa" w:w="2880"/>
          </w:tcPr>
          <w:p>
            <w:r>
              <w:t>课程授权</w:t>
            </w:r>
          </w:p>
        </w:tc>
        <w:tc>
          <w:tcPr>
            <w:tcW w:type="dxa" w:w="2880"/>
          </w:tcPr>
          <w:p>
            <w:r>
              <w:t>向FQHC或县级卫生局授权教育课程与仪表盘</w:t>
            </w:r>
          </w:p>
        </w:tc>
        <w:tc>
          <w:tcPr>
            <w:tcW w:type="dxa" w:w="2880"/>
          </w:tcPr>
          <w:p>
            <w:r>
              <w:t>$5–10k / 站点 / 年</w:t>
            </w:r>
          </w:p>
        </w:tc>
      </w:tr>
      <w:tr>
        <w:tc>
          <w:tcPr>
            <w:tcW w:type="dxa" w:w="2880"/>
          </w:tcPr>
          <w:p>
            <w:r>
              <w:t>CME认证</w:t>
            </w:r>
          </w:p>
        </w:tc>
        <w:tc>
          <w:tcPr>
            <w:tcW w:type="dxa" w:w="2880"/>
          </w:tcPr>
          <w:p>
            <w:r>
              <w:t>与大学继续教育办公室合作推出‘FASD知情照护’课程</w:t>
            </w:r>
          </w:p>
        </w:tc>
        <w:tc>
          <w:tcPr>
            <w:tcW w:type="dxa" w:w="2880"/>
          </w:tcPr>
          <w:p>
            <w:r>
              <w:t>CME收入 + 学术费用</w:t>
            </w:r>
          </w:p>
        </w:tc>
      </w:tr>
      <w:tr>
        <w:tc>
          <w:tcPr>
            <w:tcW w:type="dxa" w:w="2880"/>
          </w:tcPr>
          <w:p>
            <w:r>
              <w:t>基金会扩展</w:t>
            </w:r>
          </w:p>
        </w:tc>
        <w:tc>
          <w:tcPr>
            <w:tcW w:type="dxa" w:w="2880"/>
          </w:tcPr>
          <w:p>
            <w:r>
              <w:t>获得Duke Endowment或Reynolds Trust多年度资助</w:t>
            </w:r>
          </w:p>
        </w:tc>
        <w:tc>
          <w:tcPr>
            <w:tcW w:type="dxa" w:w="2880"/>
          </w:tcPr>
          <w:p>
            <w:r>
              <w:t>$250k–$500k / 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