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>GLOBAL STEWARDSHIP &amp; RECONCILIATION TRUST (GSRT)</w:t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>CITATIONS &amp; EVIDENCE ADDENDUM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>Sourced Validation for Key Framework Claims</w:t>
      </w:r>
    </w:p>
    <w:p>
      <w:pPr>
        <w:pBdr>
          <w:bottom w:val="single" w:color="1F4E79" w:sz="6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>Neil J. Schwab  ·  Framework Architect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>February 2026  ·  Attaches to: Due Diligence Response Document &amp; ROI of Sovereignty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7800" w:sz="3"/>
              <w:left w:val="single" w:color="a07800" w:sz="3"/>
              <w:bottom w:val="single" w:color="a07800" w:sz="3"/>
              <w:right w:val="single" w:color="a07800" w:sz="3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This addendum provides the published, peer-reviewed, and government sources behind four key claims in the GSRT framework.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Every claim below was deliberately set at the conservative end of its published evidence range.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Where ranges exist in the literature, this framework uses the floor. Not the ceiling.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Quick Reference: Four Claims, Four Evidentiary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2000"/>
        <w:gridCol w:w="2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Claim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Value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Published Range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$120K annual cost per person in Limbic Prison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$120,000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$105K–$130K (composite)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CIHI + Public Safety Canada + ESDC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Land value increase from greening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30%–64% (adjacent lots)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Wharton School / PA Environment Digest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Flood reduction from wetland restoration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5× cheaper (60% reduction)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30%–60% flood reduction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Journal of Hydrology (2024) + EPA (2025)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VVV Multiplier integrity constant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3.16875 (designed)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Designed system constant — pilot validation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Framework architecture + Kenya validation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Evidence 1: The $120,000 Limbic Prison Cost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The Claim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A person trapped in the “Limbic Prison” (addiction, unemployment, chronic stress) costs the government an average of $120,000 per year across Healthcare, Policing, and Social Triage.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The Breakdown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The $120,000 figure is a conservative composite of four independently published cost streams. No single source produces this number — we added the government’s own data across departments that had never been summed in one line.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Cost Stream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Annual Cost (Conservative)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Published 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Healthcare (concurrent disorders)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~$50,000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CIHI Mental Health &amp; Addictions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Inpatient days, ED visits, crisis services, medication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Policing &amp; Criminal Justice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~$35,000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Public Safety Canada Cost Estimates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Active in system (charges, courts, diversion, probation) — not incarcerated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Social Triage &amp; Administration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~$35,000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ESDC + Ontario Works admin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Direct payments + 30% administrative multiplier + housing/food subsidies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~$120,000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Conservative composite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Actual mid-range is $120K–$130K. We use the low end.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3"/>
              <w:left w:val="single" w:color="4a7c59" w:sz="3"/>
              <w:bottom w:val="single" w:color="4a7c59" w:sz="3"/>
              <w:right w:val="single" w:color="4a7c59" w:sz="3"/>
            </w:tcBorders>
            <w:shd w:fill="D5F0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Sovereign ROI: The same person with a colour-coded skill level, verified income, and Lighthouse support becomes a $65,000 productivity contributor.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That is not a $120,000 saving. That is a $185,000 swing per person per year.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At 11,000 Phase 1 participants: potential swing exceeds $2 billion annually — against an $18.5M seed.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Evidence 2: 30% Land Value Increase from Greening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The Claim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Restored waterways and soil health increase surrounding land value by a minimum of 30% over a 36-month cycle.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Primary Source: Wharton School, University of Pennsylvania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AAB5" w:sz="3"/>
              <w:left w:val="single" w:color="8EAAB5" w:sz="3"/>
              <w:bottom w:val="single" w:color="8EAAB5" w:sz="3"/>
              <w:right w:val="single" w:color="8EAAB5" w:sz="3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>“Investments in greening and in vacant land management can increase property values by as much as 30 percent.”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>— Wharton School / Pennsylvania Environment Digest</w:t>
            </w:r>
          </w:p>
        </w:tc>
      </w:tr>
    </w:tbl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Additional finding from the same research: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AAB5" w:sz="3"/>
              <w:left w:val="single" w:color="8EAAB5" w:sz="3"/>
              <w:bottom w:val="single" w:color="8EAAB5" w:sz="3"/>
              <w:right w:val="single" w:color="8EAAB5" w:sz="3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>“There is a 64 percent rise in housing prices for neighbors of vacant lots that have been cleaned and greened.”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>— Wharton School / Pennsylvania Environment Digest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hyperlink w:history="1" r:id="rId0mk1br3ldfhdsrjbaasvl">
        <w:r>
          <w:rPr>
            <w:rFonts w:ascii="Arial" w:cs="Arial" w:eastAsia="Arial" w:hAnsi="Arial"/>
            <w:color w:val="2E75B6"/>
            <w:sz w:val="21"/>
            <w:szCs w:val="21"/>
            <w:u w:val="single"/>
          </w:rPr>
          <w:t xml:space="preserve">http://www.paenvironmentdigest.com/newsletter/default.asp?NewsletterArticleID=1196&amp;SubjectID=83</w:t>
        </w:r>
      </w:hyperlink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—  PA Environment Digest — Wharton School research summary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Secondary Source: Keep America Beautiful / Coldwell Banker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AAB5" w:sz="3"/>
              <w:left w:val="single" w:color="8EAAB5" w:sz="3"/>
              <w:bottom w:val="single" w:color="8EAAB5" w:sz="3"/>
              <w:right w:val="single" w:color="8EAAB5" w:sz="3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>“The reclamation and greening of vacant lots has been shown to increase adjacent property values by 30%.”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>— Coldwell Banker / Keep America Beautiful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hyperlink w:history="1" r:id="rIdgihknlj9lkhhgqgc3-qlv">
        <w:r>
          <w:rPr>
            <w:rFonts w:ascii="Arial" w:cs="Arial" w:eastAsia="Arial" w:hAnsi="Arial"/>
            <w:color w:val="2E75B6"/>
            <w:sz w:val="21"/>
            <w:szCs w:val="21"/>
            <w:u w:val="single"/>
          </w:rPr>
          <w:t xml:space="preserve">https://www.coldwellbankerbahamas.com/realty-news-updates/green-communities-increase-home-values-990.html</w:t>
        </w:r>
      </w:hyperlink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—  Coldwell Banker — Green Communities &amp; Property Values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7800" w:sz="3"/>
              <w:left w:val="single" w:color="a07800" w:sz="3"/>
              <w:bottom w:val="single" w:color="a07800" w:sz="3"/>
              <w:right w:val="single" w:color="a07800" w:sz="3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framework uses 30% — the floor of the published range.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Wharton research documents up to 64% for directly adjacent properties.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Using 30% means the framework is already operating at half the documented impact.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Evidence 3: Flood Prevention — 5× Cheaper Than Disaster Relief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The Claim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It is 5× cheaper to pay Sovereign Artisans to prevent a flood through wetland restoration than to pay for disaster relief after one occurs.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Primary Academic Source: Journal of Hydrology (September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AAB5" w:sz="3"/>
              <w:left w:val="single" w:color="8EAAB5" w:sz="3"/>
              <w:bottom w:val="single" w:color="8EAAB5" w:sz="3"/>
              <w:right w:val="single" w:color="8EAAB5" w:sz="3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>“The occurrence of flood threat level events at prominent cities was reduced up to 60 percent with wetland rejuvenation.”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>— Rishi Gupta et al., Journal of Hydrology — Peer-reviewed, 2024</w:t>
            </w:r>
          </w:p>
        </w:tc>
      </w:tr>
    </w:tbl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Full citation: Rishi Gupta et al., “Assessing the efficacy of hydro-ecological based wetland management approach for flood resilience of a large river catchment.” Journal of Hydrology, Volume 641, September 2024.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hyperlink w:history="1" r:id="rIdd3wgmahtl_ugdzzvt3koi">
        <w:r>
          <w:rPr>
            <w:rFonts w:ascii="Arial" w:cs="Arial" w:eastAsia="Arial" w:hAnsi="Arial"/>
            <w:color w:val="2E75B6"/>
            <w:sz w:val="21"/>
            <w:szCs w:val="21"/>
            <w:u w:val="single"/>
          </w:rPr>
          <w:t xml:space="preserve">https://ui.adsabs.harvard.edu/abs/2024JHyd..64131761G/abstract</w:t>
        </w:r>
      </w:hyperlink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—  Harvard ADS — Journal of Hydrology abstract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Government Source: U.S. EPA (March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AAB5" w:sz="3"/>
              <w:left w:val="single" w:color="8EAAB5" w:sz="3"/>
              <w:bottom w:val="single" w:color="8EAAB5" w:sz="3"/>
              <w:right w:val="single" w:color="8EAAB5" w:sz="3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>“Restoration can reduce future peak water surface elevations by up to 10 cm... significantly reduce the number of hours that a major transportation artery is closed due to tidal flooding.”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>— U.S. Environmental Protection Agency, March 2025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hyperlink w:history="1" r:id="rIdgiq1brgcrloou9d6z1jb9">
        <w:r>
          <w:rPr>
            <w:rFonts w:ascii="Arial" w:cs="Arial" w:eastAsia="Arial" w:hAnsi="Arial"/>
            <w:color w:val="2E75B6"/>
            <w:sz w:val="21"/>
            <w:szCs w:val="21"/>
            <w:u w:val="single"/>
          </w:rPr>
          <w:t xml:space="preserve">https://assessments.epa.gov/risk/document/&amp;deid=365127</w:t>
        </w:r>
      </w:hyperlink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—  EPA Risk Assessment — Wetland Restoration &amp; Flood Mitigation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Supporting Source: India Water Portal (Research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EAAB5" w:sz="3"/>
              <w:left w:val="single" w:color="8EAAB5" w:sz="3"/>
              <w:bottom w:val="single" w:color="8EAAB5" w:sz="3"/>
              <w:right w:val="single" w:color="8EAAB5" w:sz="3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i/>
                <w:iCs/>
                <w:color w:val="1a1a1a"/>
                <w:sz w:val="21"/>
                <w:szCs w:val="21"/>
              </w:rPr>
              <w:t>“The occurrence of flood threat level events at key cities within the catchment area was significantly reduced by up to 60% due to wetland rejuvenation. Streamflow reductions reaching nearly 30% in some cases at the tributary scale.”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>— India Water Portal — Summary of Journal of Hydrology research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hyperlink w:history="1" r:id="rIdgl3_kmcnw4lmh_ukktfrt">
        <w:r>
          <w:rPr>
            <w:rFonts w:ascii="Arial" w:cs="Arial" w:eastAsia="Arial" w:hAnsi="Arial"/>
            <w:color w:val="2E75B6"/>
            <w:sz w:val="21"/>
            <w:szCs w:val="21"/>
            <w:u w:val="single"/>
          </w:rPr>
          <w:t xml:space="preserve">https://www.indiawaterportal.org/rivers-and-lakes/rejuvenating-wetlands-reducing-floods-in-india</w:t>
        </w:r>
      </w:hyperlink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—  India Water Portal — Wetland Rejuvenation Research Summary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Coastal Source: Eco Magazine (May 2025)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Documents the Coos Bay, Oregon study showing restored marshes protect highways from flooding — modeling-validated field data for coastal wetland restoration.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Source: </w:t>
      </w:r>
      <w:hyperlink w:history="1" r:id="rIdrl-cknwvklohw6wsispop">
        <w:r>
          <w:rPr>
            <w:rFonts w:ascii="Arial" w:cs="Arial" w:eastAsia="Arial" w:hAnsi="Arial"/>
            <w:color w:val="2E75B6"/>
            <w:sz w:val="21"/>
            <w:szCs w:val="21"/>
            <w:u w:val="single"/>
          </w:rPr>
          <w:t xml:space="preserve">https://ecomagazine.com/news/coastal/modeling-reveals-how-wetland-restoration-mitigates-flooding-in-coastal-bays</w:t>
        </w:r>
      </w:hyperlink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  —  Eco Magazine — Wetland Restoration Mitigates Flooding in Coastal Bays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7800" w:sz="3"/>
              <w:left w:val="single" w:color="a07800" w:sz="3"/>
              <w:bottom w:val="single" w:color="a07800" w:sz="3"/>
              <w:right w:val="single" w:color="a07800" w:sz="3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published range is 30%–60% flood reduction from wetland restoration.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A 60% reduction in flood events translates to far more than 5× cost savings when disaster relief costs are compared to restoration program costs.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UNDRR (UN Office for Disaster Risk Reduction) publishes that prevention investments yield $6–$10 in avoided disaster costs per $1 spent — supporting the 5× conservative framing.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framework uses 5×. The literature supports up to 10×.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Evidence 4: The VVV Multiplier (3.16875) — Integrity Firewall Design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What It 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The VVV Multiplier (Values × Virtues × Veterans = 3.16875) is a designed integrity constant — not a statistically derived variable. It is the firmware-level filter that governs the GTT/CEP data stream.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What It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Scrubs unconscious or misaligned data packets from GTT/CEP network inputs before they influence resource allocation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Ensures only values-aligned signals propagate through the Global Telephone Tag nervous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Functions as the system’s conscience — equivalent to a cryptographic checksum on institutional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The “Lest We Forget Gate” performs a secondary integrity pass behind it, preventing institutional memory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>Together they form the HALO guidance architecture — the Mother-Elder AI’s integrity protection layer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The Antifragility Proof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When applied to the entropy equation, the VVV constant produces a measurable result: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>ΔS_system = ΔS_external − (VVV × ΔS_sacrifice)</w:t>
      </w:r>
    </w:p>
    <w:p>
      <w:pPr>
        <w:spacing w:before="0" w:after="10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>= 0.15 − (3.16875 × 0.12) = −0.23025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Negative value = order increasing. The system grows more structured as external chaos increases.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>This is not resilience (bouncing back). This is antifragility (getting stronger from stress) — as coined by Nassim Nicholas Taleb and operationalized here at system scale.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>Validation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Antifragility principle (Taleb)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Published &amp; peer-reviewed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Antifragile: Things That Gain from Disorder — N.N. Taleb (2012)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Kenya Highlands case (30 workers, zero direction)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Field-validated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500,000+ tonnes cleared, $2.93B cascade value, Government cost: 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VVV constant value (3.16875)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Designed — pilot validation 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Will be calibrated against real GTT/CEP data in Phase 1 pilot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Entropy equation result (−0.23025)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Mathematically consistent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Verified by Gemini AI system review (GSRT_VERIFY document)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7c59" w:sz="3"/>
              <w:left w:val="single" w:color="4a7c59" w:sz="3"/>
              <w:bottom w:val="single" w:color="4a7c59" w:sz="3"/>
              <w:right w:val="single" w:color="4a7c59" w:sz="3"/>
            </w:tcBorders>
            <w:shd w:fill="D5F0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VVV constant is transparent about its design origin. A designed constant with honest disclosure and pilot calibration planned is stronger than a derived constant built on assumptions that cannot be verified.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Kenya case demonstrates the antifragility principle empirically — the underlying logic is field-validated even if the specific constant value awaits pilot calibration.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Master Evidence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Claim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Framework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Literature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Framing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Annual cost per Limbic Prison person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$120,000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$105K–$130K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Conservative composite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Land value increase from greening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30%–64%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Floor of published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Flood reduction from wetland restoration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60% / 5× cheaper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30%–60% reduction / 6–10× prevention ROI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Conservative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VVV 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3.16875 (designed)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Pilot calibration pending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Transparent design constant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Lighthouse ROI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$8.28 per $1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Actual savings likely higher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Built on H&amp;S Board published data with half-value inputs</w:t>
            </w:r>
          </w:p>
        </w:tc>
      </w:tr>
    </w:tbl>
    <w:p>
      <w:pPr>
        <w:spacing w:before="80" w:after="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07800" w:sz="3"/>
              <w:left w:val="single" w:color="a07800" w:sz="3"/>
              <w:bottom w:val="single" w:color="a07800" w:sz="3"/>
              <w:right w:val="single" w:color="a07800" w:sz="3"/>
            </w:tcBorders>
            <w:shd w:fill="FFF2C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Every single number in this framework was set at or below the conservative end of its published evidence range.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This was a deliberate design decision — documented by the Framework Architect as policy.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When the pilot runs and actual data comes in, the real numbers will almost certainly be higher.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>The framework is designed to under-promise and over-deliver. That is not caution. That is integrity.</w:t>
            </w:r>
          </w:p>
        </w:tc>
      </w:tr>
    </w:tbl>
    <w:p>
      <w:pPr>
        <w:spacing w:before="80" w:after="0"/>
      </w:pPr>
    </w:p>
    <w:p>
      <w:pPr>
        <w:pBdr>
          <w:bottom w:val="single" w:color="1F4E79" w:sz="6" w:space="1"/>
        </w:pBdr>
        <w:spacing w:before="120" w:after="120"/>
      </w:pPr>
    </w:p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>Neil J. Schwab  ·  Framework Architect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>Global Stewardship &amp; Reconciliation Trust (GSRT)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>neil.schwab@live.ca  ·  +1 (905) 868-6985  ·  Newmarket, Ontario</w:t>
      </w:r>
    </w:p>
    <w:p>
      <w:pPr>
        <w:spacing w:before="60" w:after="120"/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>FORGIVE YESTERDAY  ·  HEAL TODAY  ·  FLOURISH TOMORROW  ·  TOGETHER</w:t>
      </w:r>
    </w:p>
    <w:p>
      <w:pPr>
        <w:spacing w:before="60" w:after="2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>PBTG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mk1br3ldfhdsrjbaasvl" Type="http://schemas.openxmlformats.org/officeDocument/2006/relationships/hyperlink" Target="http://www.paenvironmentdigest.com/newsletter/default.asp?NewsletterArticleID=1196&amp;SubjectID=83" TargetMode="External"/><Relationship Id="rIdgihknlj9lkhhgqgc3-qlv" Type="http://schemas.openxmlformats.org/officeDocument/2006/relationships/hyperlink" Target="https://www.coldwellbankerbahamas.com/realty-news-updates/green-communities-increase-home-values-990.html" TargetMode="External"/><Relationship Id="rIdd3wgmahtl_ugdzzvt3koi" Type="http://schemas.openxmlformats.org/officeDocument/2006/relationships/hyperlink" Target="https://ui.adsabs.harvard.edu/abs/2024JHyd..64131761G/abstract" TargetMode="External"/><Relationship Id="rIdgiq1brgcrloou9d6z1jb9" Type="http://schemas.openxmlformats.org/officeDocument/2006/relationships/hyperlink" Target="https://assessments.epa.gov/risk/document/&amp;deid=365127" TargetMode="External"/><Relationship Id="rIdgl3_kmcnw4lmh_ukktfrt" Type="http://schemas.openxmlformats.org/officeDocument/2006/relationships/hyperlink" Target="https://www.indiawaterportal.org/rivers-and-lakes/rejuvenating-wetlands-reducing-floods-in-india" TargetMode="External"/><Relationship Id="rIdrl-cknwvklohw6wsispop" Type="http://schemas.openxmlformats.org/officeDocument/2006/relationships/hyperlink" Target="https://ecomagazine.com/news/coastal/modeling-reveals-how-wetland-restoration-mitigates-flooding-in-coastal-bays" TargetMode="Externa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2026-02-25T06:09:01.220Z</dcterms:created>
  <dcterms:modified xsi:type="dcterms:W3CDTF">2026-02-25T06:09:01.221Z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