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96"/>
          <w:szCs w:val="96"/>
        </w:rPr>
        <w:t xml:space="preserve">GSRT</w:t>
      </w:r>
    </w:p>
    <w:p>
      <w:pPr>
        <w:spacing w:after="80"/>
        <w:jc w:val="center"/>
      </w:pPr>
      <w:r>
        <w:rPr>
          <w:rFonts w:ascii="Arial" w:cs="Arial" w:eastAsia="Arial" w:hAnsi="Arial"/>
          <w:b/>
          <w:bCs/>
          <w:color w:val="0f3460"/>
          <w:sz w:val="32"/>
          <w:szCs w:val="32"/>
        </w:rPr>
        <w:t xml:space="preserve">Global Stewardship &amp; Reconciliation Trust</w:t>
      </w:r>
    </w:p>
    <w:p>
      <w:pPr>
        <w:spacing w:after="80"/>
        <w:jc w:val="center"/>
      </w:pPr>
      <w:r>
        <w:rPr>
          <w:rFonts w:ascii="Arial" w:cs="Arial" w:eastAsia="Arial" w:hAnsi="Arial"/>
          <w:b/>
          <w:bCs/>
          <w:color w:val="B8860B"/>
          <w:sz w:val="44"/>
          <w:szCs w:val="44"/>
        </w:rPr>
        <w:t xml:space="preserve">COMPLETE MATHEMATICS MANUAL</w:t>
      </w:r>
    </w:p>
    <w:p>
      <w:pPr>
        <w:spacing w:after="80"/>
        <w:jc w:val="center"/>
      </w:pPr>
      <w:r>
        <w:rPr>
          <w:rFonts w:ascii="Arial" w:cs="Arial" w:eastAsia="Arial" w:hAnsi="Arial"/>
          <w:color w:val="555555"/>
          <w:sz w:val="26"/>
          <w:szCs w:val="26"/>
        </w:rPr>
        <w:t xml:space="preserve">Every Equation.  Every Proof.  Every Source.</w:t>
      </w:r>
    </w:p>
    <w:p>
      <w:pPr>
        <w:pBdr>
          <w:bottom w:val="single" w:color="CCCCCC" w:sz="2" w:space="1"/>
        </w:pBdr>
        <w:spacing w:after="200"/>
        <w:jc w:val="center"/>
      </w:pPr>
      <w:r>
        <w:rPr>
          <w:rFonts w:ascii="Arial" w:cs="Arial" w:eastAsia="Arial" w:hAnsi="Arial"/>
          <w:i/>
          <w:iCs/>
          <w:color w:val="666666"/>
          <w:sz w:val="22"/>
          <w:szCs w:val="22"/>
        </w:rPr>
        <w:t xml:space="preserve">Consolidated from all GSRT source documents  ·  February 2026</w:t>
      </w:r>
    </w:p>
    <w:p>
      <w:pPr>
        <w:spacing w:before="200" w:after="60"/>
        <w:jc w:val="center"/>
      </w:pPr>
      <w:r>
        <w:rPr>
          <w:rFonts w:ascii="Arial" w:cs="Arial" w:eastAsia="Arial" w:hAnsi="Arial"/>
          <w:b/>
          <w:bCs/>
          <w:color w:val="1F4E79"/>
          <w:sz w:val="24"/>
          <w:szCs w:val="24"/>
        </w:rPr>
        <w:t xml:space="preserve">Neil J. Schwab  —  Framework Architect</w:t>
      </w:r>
    </w:p>
    <w:p>
      <w:pPr>
        <w:spacing w:after="60"/>
        <w:jc w:val="center"/>
      </w:pPr>
      <w:r>
        <w:rPr>
          <w:rFonts w:ascii="Arial" w:cs="Arial" w:eastAsia="Arial" w:hAnsi="Arial"/>
          <w:color w:val="555555"/>
          <w:sz w:val="20"/>
          <w:szCs w:val="20"/>
        </w:rPr>
        <w:t xml:space="preserve">neil.schwab@live.ca  ·  +1 (905) 868-6985  ·  Newmarket, Ontario, Canada</w:t>
      </w:r>
    </w:p>
    <w:p>
      <w:pPr>
        <w:spacing w:before="300"/>
        <w:jc w:val="center"/>
      </w:pPr>
      <w:r>
        <w:rPr>
          <w:rFonts w:ascii="Arial" w:cs="Arial" w:eastAsia="Arial" w:hAnsi="Arial"/>
          <w:b/>
          <w:bCs/>
          <w:color w:val="B8860B"/>
          <w:sz w:val="22"/>
          <w:szCs w:val="22"/>
        </w:rPr>
        <w:t xml:space="preserve">FORGIVE YESTERDAY  •  HEAL TODAY  •  FLOURISH TOMORROW  •  TOGETHER  •  PBTG</w:t>
      </w:r>
    </w:p>
    <w:p>
      <w:pPr>
        <w:pStyle w:val="Heading1"/>
        <w:pBdr>
          <w:bottom w:val="single" w:color="B8860B" w:sz="4" w:space="1"/>
        </w:pBdr>
        <w:spacing w:before="280" w:after="140"/>
      </w:pPr>
      <w:r>
        <w:rPr>
          <w:rFonts w:ascii="Arial" w:cs="Arial" w:eastAsia="Arial" w:hAnsi="Arial"/>
          <w:b/>
          <w:bCs/>
          <w:color w:val="1F4E79"/>
          <w:sz w:val="30"/>
          <w:szCs w:val="30"/>
        </w:rPr>
        <w:t xml:space="preserve">Corrections applied — v1 to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Issue in v1</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Correction applied</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Affected sections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"GSRT Initiative" in title and headers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GSRT throughout — no Initiative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Cover, all headers, Section 6</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Three Rivers only in watershed section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Four Rivers — Animal Replenishment added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Section 6.3, Six.4</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Secondary cascade 40/60 split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Corrected to 50/50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Section 6.3</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Rose/Mildred/Jenny not referenced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Trinity referenced where AI Halo IRF is discussed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Section 1 validation note</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"AI Halo" without IRF designation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AI Halo IRF throughout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All AI references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YELLOW tier absent from colour income table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YELLOW added to Participant Income by Colour Level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Section 6.6</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Master quick reference — all equations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Equation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Formula</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Section</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Human Value Function</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W = (R+B+N+V+M+Gv+Fe+Fm) × Cs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1</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Local Engine Value</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V_Local = [(ΔC + Gm) × NCF] ÷ ΔM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2</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Global Scaling Propeller</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V_Global = Σ(V_Local) × SRF^(H + ΔE)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3</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Generational Ripple</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V_Gen = (Witnesses × Exposure_Time × Community_Pride) + Influence_Cascade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3.4</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Total Societal Burden</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TSB = (U + E + Wd + H + S) × Pop ÷ 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4</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Antifragility Proof</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ΔS_system = ΔS_external − (VVV × ΔS_sacrifice) = −0.23025</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5</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Justice Floor — Primary</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Gross Revenue → 20% / 40% / 20% / 10% / 10%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6.1</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Reverse Revenue</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R = P ÷ 0.40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6.2</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Scaling Stream</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Scaling_Stream = 0.10 × Gross_Revenue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6.3</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Aquifer Recharge</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Aquifer_Recharge = 0.10 × Gross_Revenue (both engines)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6.3</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Seed Repayment</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0.50R = $18.5M → R = $37M cumulative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6.4</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Lighthouse Current Cost</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Current Cost = (T+S+P+H+C) × n = $306,000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7.1</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Lighthouse Savings</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ΔCost = $306,000 − $229,500 = $76,500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7.3</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Lighthouse ROI</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ROI = $76,500 ÷ $9,238 = $8.28 per $1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7.6</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Burnout Exposure</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E_ab = (W×T_r×$93K) + (S_d×W_d) + (A_r×A_c) + M_i</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8</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Human Improvement Ratio</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HIR = W ÷ ΔCost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9.5</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Burnout Recovery Coefficient</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BRC = mean of (OCI+ProQOL+PSS+BAT+SAF deltas)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9.6</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Palette Formation</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Palette = (Curiosity × Guidance × Nourishment) ^ Time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13 / School Manual</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Fishing Hole</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S_Sovereign = (Heart × Soul) + (E_tool × Physical) = 1 + creation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11</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1 — The Human Value Function (W)</w:t>
      </w:r>
    </w:p>
    <w:p>
      <w:pPr>
        <w:spacing w:before="0" w:after="140"/>
      </w:pPr>
      <w:r>
        <w:rPr>
          <w:rFonts w:ascii="Arial" w:cs="Arial" w:eastAsia="Arial" w:hAnsi="Arial"/>
          <w:b w:val="false"/>
          <w:bCs w:val="false"/>
          <w:i w:val="false"/>
          <w:iCs w:val="false"/>
          <w:color w:val="111111"/>
          <w:sz w:val="22"/>
          <w:szCs w:val="22"/>
        </w:rPr>
        <w:t xml:space="preserve">The foundation of the entire framework. W quantifies the non-monetary worth of a human being — the composite of eight psychological and neurochemical variables, multiplied by the quality of social connection. W is not a score. It is a direction. The goal is not to maximize W — it is to watch W move.</w:t>
      </w:r>
    </w:p>
    <w:p>
      <w:pPr>
        <w:pStyle w:val="Heading2"/>
        <w:spacing w:before="240" w:after="100"/>
      </w:pPr>
      <w:r>
        <w:rPr>
          <w:rFonts w:ascii="Arial" w:cs="Arial" w:eastAsia="Arial" w:hAnsi="Arial"/>
          <w:b/>
          <w:bCs/>
          <w:color w:val="0f3460"/>
          <w:sz w:val="24"/>
          <w:szCs w:val="24"/>
        </w:rPr>
        <w:t xml:space="preserve">1.1  The master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W = (R + B + N + V + M + Gv + Fe + Fm) × Cs</w:t>
      </w:r>
    </w:p>
    <w:p>
      <w:pPr>
        <w:pStyle w:val="Heading2"/>
        <w:spacing w:before="240" w:after="100"/>
      </w:pPr>
      <w:r>
        <w:rPr>
          <w:rFonts w:ascii="Arial" w:cs="Arial" w:eastAsia="Arial" w:hAnsi="Arial"/>
          <w:b/>
          <w:bCs/>
          <w:color w:val="0f3460"/>
          <w:sz w:val="24"/>
          <w:szCs w:val="24"/>
        </w:rPr>
        <w:t xml:space="preserve">1.2  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Definition &amp; benchmark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Resilience Index</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Capacity to recover from adversity. Measured by ProQOL Compassion Satisfaction subscale.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B</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Boundary Clarity Score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Ability to maintain healthy limits without enmeshment or abandonment. SAF instrument.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Neurochemical Balance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D.O.S.E. regulation — dopamine, oxytocin, serotonin, endorphins. CEP daily practice output.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V</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Virtue Value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Integrity alignment between stated values and demonstrated behaviour. OCI instrument.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Meaning Quotient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Sense of purpose and contribution. ProQOL Meaning subscale.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Gv</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Guest Virtue Score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How the person contributes to community wellbeing. Peer observation and Elder assessment.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Fe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Emotional Satisfaction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Subjective life satisfaction and emotional fulfilment. PSS inverse score.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Fm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Morality Alignment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Alignment between personal ethics and daily action. BAT moral subscale.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Cs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Secure Connection Multiplier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Quality of attachment and relational security. Secure=1.2, Developing=1.0, Disrupted=0.8.</w:t>
            </w:r>
          </w:p>
        </w:tc>
      </w:tr>
    </w:tbl>
    <w:p>
      <w:pPr>
        <w:pStyle w:val="Heading2"/>
        <w:spacing w:before="240" w:after="100"/>
      </w:pPr>
      <w:r>
        <w:rPr>
          <w:rFonts w:ascii="Arial" w:cs="Arial" w:eastAsia="Arial" w:hAnsi="Arial"/>
          <w:b/>
          <w:bCs/>
          <w:color w:val="0f3460"/>
          <w:sz w:val="24"/>
          <w:szCs w:val="24"/>
        </w:rPr>
        <w:t xml:space="preserve">1.3  Conservative worked example</w:t>
      </w:r>
    </w:p>
    <w:p>
      <w:pPr>
        <w:pBdr>
          <w:left w:val="single" w:color="1F4E79" w:sz="14" w:space="6"/>
        </w:pBdr>
        <w:spacing w:before="100" w:after="100"/>
      </w:pPr>
      <w:r>
        <w:rPr>
          <w:rFonts w:ascii="Courier New" w:cs="Courier New" w:eastAsia="Courier New" w:hAnsi="Courier New"/>
          <w:b/>
          <w:bCs/>
          <w:color w:val="1F4E79"/>
          <w:sz w:val="22"/>
          <w:szCs w:val="22"/>
        </w:rPr>
        <w:t xml:space="preserve">    W = (10 + 5 + 8 + 7 + 10 + 5 + 5 + 5) × 1.2 = 66 Sovereign Units</w:t>
      </w:r>
    </w:p>
    <w:p>
      <w:pPr>
        <w:spacing w:before="0" w:after="140"/>
      </w:pPr>
      <w:r>
        <w:rPr>
          <w:rFonts w:ascii="Arial" w:cs="Arial" w:eastAsia="Arial" w:hAnsi="Arial"/>
          <w:b w:val="false"/>
          <w:bCs w:val="false"/>
          <w:i w:val="false"/>
          <w:iCs w:val="false"/>
          <w:color w:val="333333"/>
          <w:sz w:val="22"/>
          <w:szCs w:val="22"/>
        </w:rPr>
        <w:t xml:space="preserve">Each variable scored low-to-mid range. Cs at default 1.2. Output: 66 Sovereign Units — a person in early restoration, connected but not yet at full flourishing. A person entering the CCGBI at WHITE tier typically scores W = 20–35. A GOLD tier Mother-Elder typically scores W = 85–100.</w:t>
      </w:r>
    </w:p>
    <w:p>
      <w:pPr>
        <w:pStyle w:val="Heading2"/>
        <w:spacing w:before="240" w:after="100"/>
      </w:pPr>
      <w:r>
        <w:rPr>
          <w:rFonts w:ascii="Arial" w:cs="Arial" w:eastAsia="Arial" w:hAnsi="Arial"/>
          <w:b/>
          <w:bCs/>
          <w:color w:val="0f3460"/>
          <w:sz w:val="24"/>
          <w:szCs w:val="24"/>
        </w:rPr>
        <w:t xml:space="preserve">1.4  Validation note</w:t>
      </w:r>
    </w:p>
    <w:p>
      <w:pPr>
        <w:spacing w:before="60" w:after="120"/>
      </w:pPr>
      <w:r>
        <w:rPr>
          <w:rFonts w:ascii="Arial" w:cs="Arial" w:eastAsia="Arial" w:hAnsi="Arial"/>
          <w:i/>
          <w:iCs/>
          <w:color w:val="666666"/>
          <w:sz w:val="20"/>
          <w:szCs w:val="20"/>
        </w:rPr>
        <w:t xml:space="preserve">Note: W is an illustrative framework. Component measurement protocols use five validated clinical instruments: ProQOL, PSS, BAT, SAF, OCI. The AI Halo IRF (Rose/Mildred/Jenny Trinity) tracks W trajectory longitudinally. Individual W scores are never disclosed without consent. Only aggregated community ΔW trajectories inform the GTT dataset.</w:t>
      </w:r>
    </w:p>
    <w:p>
      <w:pPr>
        <w:pStyle w:val="Heading2"/>
        <w:spacing w:before="240" w:after="100"/>
      </w:pPr>
      <w:r>
        <w:rPr>
          <w:rFonts w:ascii="Arial" w:cs="Arial" w:eastAsia="Arial" w:hAnsi="Arial"/>
          <w:b/>
          <w:bCs/>
          <w:color w:val="0f3460"/>
          <w:sz w:val="24"/>
          <w:szCs w:val="24"/>
        </w:rPr>
        <w:t xml:space="preserve">1.5  Partner workbench — blank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160"/>
        <w:gridCol w:w="2160"/>
        <w:gridCol w:w="234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Your baseline score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Post-programme score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Delta (change)</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V</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Gv</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Fe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Fm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Cs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Connection Multiplier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W</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TOTAL</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2 — The Local Engine (V_Local)</w:t>
      </w:r>
    </w:p>
    <w:p>
      <w:pPr>
        <w:spacing w:before="0" w:after="140"/>
      </w:pPr>
      <w:r>
        <w:rPr>
          <w:rFonts w:ascii="Arial" w:cs="Arial" w:eastAsia="Arial" w:hAnsi="Arial"/>
          <w:b w:val="false"/>
          <w:bCs w:val="false"/>
          <w:i w:val="false"/>
          <w:iCs w:val="false"/>
          <w:color w:val="111111"/>
          <w:sz w:val="22"/>
          <w:szCs w:val="22"/>
        </w:rPr>
        <w:t xml:space="preserve">V_Local measures the direct economic and human value created at a single restoration node — one community, one site, one team. It converts chaos (Mayhem) into measurable value through the neurochemical multiplier.</w:t>
      </w:r>
    </w:p>
    <w:p>
      <w:pPr>
        <w:pStyle w:val="Heading2"/>
        <w:spacing w:before="240" w:after="100"/>
      </w:pPr>
      <w:r>
        <w:rPr>
          <w:rFonts w:ascii="Arial" w:cs="Arial" w:eastAsia="Arial" w:hAnsi="Arial"/>
          <w:b/>
          <w:bCs/>
          <w:color w:val="0f3460"/>
          <w:sz w:val="24"/>
          <w:szCs w:val="24"/>
        </w:rPr>
        <w:t xml:space="preserve">2.1  The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V_Local = [(ΔC + Gm) × NCF] ÷ ΔM</w:t>
      </w:r>
    </w:p>
    <w:p>
      <w:pPr>
        <w:pStyle w:val="Heading2"/>
        <w:spacing w:before="240" w:after="100"/>
      </w:pPr>
      <w:r>
        <w:rPr>
          <w:rFonts w:ascii="Arial" w:cs="Arial" w:eastAsia="Arial" w:hAnsi="Arial"/>
          <w:b/>
          <w:bCs/>
          <w:color w:val="0f3460"/>
          <w:sz w:val="24"/>
          <w:szCs w:val="24"/>
        </w:rPr>
        <w:t xml:space="preserve">2.2  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Definition &amp; benchmark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ΔC</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Cost Avoidance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Government costs avoided through CCGBI employment ($185,000 per Limbic Prison exit). Conservative floor used.</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Gm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Green Multiplier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Ecological value generated: land restored, water remediated, waste processed. Verified by MRV standard.</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NCF</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Neurochemical Flourishing Factor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Community-wide D.O.S.E. improvement from CEP deployment. Measured by aggregate ProQOL delta. Default: 1.1.</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ΔM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Mayhem Reduction Factor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Reduction in community disorder events (EMS calls, police contacts, crisis services). Default: 1.15. Source: Ontario municipal data.</w:t>
            </w:r>
          </w:p>
        </w:tc>
      </w:tr>
    </w:tbl>
    <w:p>
      <w:pPr>
        <w:pStyle w:val="Heading2"/>
        <w:spacing w:before="240" w:after="100"/>
      </w:pPr>
      <w:r>
        <w:rPr>
          <w:rFonts w:ascii="Arial" w:cs="Arial" w:eastAsia="Arial" w:hAnsi="Arial"/>
          <w:b/>
          <w:bCs/>
          <w:color w:val="0f3460"/>
          <w:sz w:val="24"/>
          <w:szCs w:val="24"/>
        </w:rPr>
        <w:t xml:space="preserve">2.3  Conservative worked example</w:t>
      </w:r>
    </w:p>
    <w:p>
      <w:pPr>
        <w:pBdr>
          <w:left w:val="single" w:color="1F4E79" w:sz="14" w:space="6"/>
        </w:pBdr>
        <w:spacing w:before="100" w:after="100"/>
      </w:pPr>
      <w:r>
        <w:rPr>
          <w:rFonts w:ascii="Courier New" w:cs="Courier New" w:eastAsia="Courier New" w:hAnsi="Courier New"/>
          <w:b/>
          <w:bCs/>
          <w:color w:val="1F4E79"/>
          <w:sz w:val="22"/>
          <w:szCs w:val="22"/>
        </w:rPr>
        <w:t xml:space="preserve">    V_Local = [($50,000 + $10,000) × 1.1] ÷ 1.15 = $57,391</w:t>
      </w:r>
    </w:p>
    <w:p>
      <w:pPr>
        <w:spacing w:before="0" w:after="140"/>
      </w:pPr>
      <w:r>
        <w:rPr>
          <w:rFonts w:ascii="Arial" w:cs="Arial" w:eastAsia="Arial" w:hAnsi="Arial"/>
          <w:b w:val="false"/>
          <w:bCs w:val="false"/>
          <w:i w:val="false"/>
          <w:iCs w:val="false"/>
          <w:color w:val="111111"/>
          <w:sz w:val="22"/>
          <w:szCs w:val="22"/>
        </w:rPr>
        <w:t xml:space="preserve">A single 10-person node generating $50,000 in cost avoidance and $10,000 in ecological value, with a 10% neurochemical improvement and 15% mayhem reduction, produces $57,391 in verified local value per operating period.</w:t>
      </w:r>
    </w:p>
    <w:p>
      <w:pPr>
        <w:pStyle w:val="Heading2"/>
        <w:spacing w:before="240" w:after="100"/>
      </w:pPr>
      <w:r>
        <w:rPr>
          <w:rFonts w:ascii="Arial" w:cs="Arial" w:eastAsia="Arial" w:hAnsi="Arial"/>
          <w:b/>
          <w:bCs/>
          <w:color w:val="0f3460"/>
          <w:sz w:val="24"/>
          <w:szCs w:val="24"/>
        </w:rPr>
        <w:t xml:space="preserve">2.4  Partner workbench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2160"/>
        <w:gridCol w:w="414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Your local value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Source / how measured</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ΔC — Cost avoidance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Gm — Green Multiplier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NCF — Neuro Factor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ΔM — Mayhem Reduction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V_Local RESULT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3 — The Global Scaling Propeller (V_Global)</w:t>
      </w:r>
    </w:p>
    <w:p>
      <w:pPr>
        <w:spacing w:before="0" w:after="140"/>
      </w:pPr>
      <w:r>
        <w:rPr>
          <w:rFonts w:ascii="Arial" w:cs="Arial" w:eastAsia="Arial" w:hAnsi="Arial"/>
          <w:b w:val="false"/>
          <w:bCs w:val="false"/>
          <w:i w:val="false"/>
          <w:iCs w:val="false"/>
          <w:color w:val="111111"/>
          <w:sz w:val="22"/>
          <w:szCs w:val="22"/>
        </w:rPr>
        <w:t xml:space="preserve">V_Global demonstrates how one node's value propagates exponentially through the GTT network. The Societal Ripple Factor is the propellant. The Evolution Delta is the accelerant. Together they calculate the total civilizational value of a single active restoration node.</w:t>
      </w:r>
    </w:p>
    <w:p>
      <w:pPr>
        <w:pStyle w:val="Heading2"/>
        <w:spacing w:before="240" w:after="100"/>
      </w:pPr>
      <w:r>
        <w:rPr>
          <w:rFonts w:ascii="Arial" w:cs="Arial" w:eastAsia="Arial" w:hAnsi="Arial"/>
          <w:b/>
          <w:bCs/>
          <w:color w:val="0f3460"/>
          <w:sz w:val="24"/>
          <w:szCs w:val="24"/>
        </w:rPr>
        <w:t xml:space="preserve">3.1  The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V_Global = Σ(V_Local) × SRF^(H + ΔE)</w:t>
      </w:r>
    </w:p>
    <w:p>
      <w:pPr>
        <w:pStyle w:val="Heading2"/>
        <w:spacing w:before="240" w:after="100"/>
      </w:pPr>
      <w:r>
        <w:rPr>
          <w:rFonts w:ascii="Arial" w:cs="Arial" w:eastAsia="Arial" w:hAnsi="Arial"/>
          <w:b/>
          <w:bCs/>
          <w:color w:val="0f3460"/>
          <w:sz w:val="24"/>
          <w:szCs w:val="24"/>
        </w:rPr>
        <w:t xml:space="preserve">3.2  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Definition &amp; benchmark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Σ(V_Local)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Sum of Local Values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All active node V_Local values combined.</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SRF</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Societal Ripple Factor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How far one node's success propagates through community networks. Conservative default: 2.0. (Published range 2.0–4.5.)</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H</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Horizon Index</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Degree of long-term thinking demonstrated by community. Measured by HCS output. Range 0.5–2.0. Default: 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ΔE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Evolution Delta</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Rate of systemic consciousness shift — how fast the community moves from Limbic Prison patterns toward sovereign flourishing. Default: 0.1.</w:t>
            </w:r>
          </w:p>
        </w:tc>
      </w:tr>
    </w:tbl>
    <w:p>
      <w:pPr>
        <w:pStyle w:val="Heading2"/>
        <w:spacing w:before="240" w:after="100"/>
      </w:pPr>
      <w:r>
        <w:rPr>
          <w:rFonts w:ascii="Arial" w:cs="Arial" w:eastAsia="Arial" w:hAnsi="Arial"/>
          <w:b/>
          <w:bCs/>
          <w:color w:val="0f3460"/>
          <w:sz w:val="24"/>
          <w:szCs w:val="24"/>
        </w:rPr>
        <w:t xml:space="preserve">3.3  Conservative worked example</w:t>
      </w:r>
    </w:p>
    <w:p>
      <w:pPr>
        <w:pBdr>
          <w:left w:val="single" w:color="1F4E79" w:sz="14" w:space="6"/>
        </w:pBdr>
        <w:spacing w:before="100" w:after="100"/>
      </w:pPr>
      <w:r>
        <w:rPr>
          <w:rFonts w:ascii="Courier New" w:cs="Courier New" w:eastAsia="Courier New" w:hAnsi="Courier New"/>
          <w:b/>
          <w:bCs/>
          <w:color w:val="1F4E79"/>
          <w:sz w:val="22"/>
          <w:szCs w:val="22"/>
        </w:rPr>
        <w:t xml:space="preserve">    V_Global = $57,391 × 2.0^(1.0 + 0.1) = $57,391 × 2.143 = $122,976 per node</w:t>
      </w:r>
    </w:p>
    <w:p>
      <w:pPr>
        <w:spacing w:before="0" w:after="140"/>
      </w:pPr>
      <w:r>
        <w:rPr>
          <w:rFonts w:ascii="Arial" w:cs="Arial" w:eastAsia="Arial" w:hAnsi="Arial"/>
          <w:b w:val="false"/>
          <w:bCs w:val="false"/>
          <w:i w:val="false"/>
          <w:iCs w:val="false"/>
          <w:color w:val="111111"/>
          <w:sz w:val="22"/>
          <w:szCs w:val="22"/>
        </w:rPr>
        <w:t xml:space="preserve">A single node producing $57,391 in local value propagates to $122,976 in total civilizational value when the GTT network effect is applied at the conservative SRF floor.</w:t>
      </w:r>
    </w:p>
    <w:p>
      <w:pPr>
        <w:pStyle w:val="Heading2"/>
        <w:spacing w:before="240" w:after="100"/>
      </w:pPr>
      <w:r>
        <w:rPr>
          <w:rFonts w:ascii="Arial" w:cs="Arial" w:eastAsia="Arial" w:hAnsi="Arial"/>
          <w:b/>
          <w:bCs/>
          <w:color w:val="0f3460"/>
          <w:sz w:val="24"/>
          <w:szCs w:val="24"/>
        </w:rPr>
        <w:t xml:space="preserve">3.4  Generational Ripple (V_Gen)</w:t>
      </w:r>
    </w:p>
    <w:p>
      <w:pPr>
        <w:spacing w:before="0" w:after="140"/>
      </w:pPr>
      <w:r>
        <w:rPr>
          <w:rFonts w:ascii="Arial" w:cs="Arial" w:eastAsia="Arial" w:hAnsi="Arial"/>
          <w:b w:val="false"/>
          <w:bCs w:val="false"/>
          <w:i w:val="false"/>
          <w:iCs w:val="false"/>
          <w:color w:val="111111"/>
          <w:sz w:val="22"/>
          <w:szCs w:val="22"/>
        </w:rPr>
        <w:t xml:space="preserve">V_Gen calculates the intergenerational transmission of values and competencies — the value that compounds after the programme ends, through the children who witnessed it:</w:t>
      </w:r>
    </w:p>
    <w:p>
      <w:pPr>
        <w:pBdr>
          <w:left w:val="single" w:color="1F4E79" w:sz="14" w:space="6"/>
        </w:pBdr>
        <w:spacing w:before="100" w:after="100"/>
      </w:pPr>
      <w:r>
        <w:rPr>
          <w:rFonts w:ascii="Courier New" w:cs="Courier New" w:eastAsia="Courier New" w:hAnsi="Courier New"/>
          <w:b/>
          <w:bCs/>
          <w:color w:val="1F4E79"/>
          <w:sz w:val="22"/>
          <w:szCs w:val="22"/>
        </w:rPr>
        <w:t xml:space="preserve">    V_Gen = (Witnesses × Exposure_Time × Community_Pride) + Influence_Cascade</w:t>
      </w:r>
    </w:p>
    <w:p>
      <w:pPr>
        <w:spacing w:before="0" w:after="140"/>
      </w:pPr>
      <w:r>
        <w:rPr>
          <w:rFonts w:ascii="Arial" w:cs="Arial" w:eastAsia="Arial" w:hAnsi="Arial"/>
          <w:b w:val="false"/>
          <w:bCs w:val="false"/>
          <w:i w:val="false"/>
          <w:iCs w:val="false"/>
          <w:color w:val="111111"/>
          <w:sz w:val="22"/>
          <w:szCs w:val="22"/>
        </w:rPr>
        <w:t xml:space="preserve">Kenya case: 40 children witnessed the restoration event. Community Pride index: 0.85. Influence Cascade at conservative 1.2. V_Gen = (40 × 1.0 × 0.85) + 1.2 = 35.2 sovereign units of intergenerational value — not financial, but compounding in the next generation's W trajectory.</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4 — Total Societal Burden (TSB)</w:t>
      </w:r>
    </w:p>
    <w:p>
      <w:pPr>
        <w:spacing w:before="0" w:after="140"/>
      </w:pPr>
      <w:r>
        <w:rPr>
          <w:rFonts w:ascii="Arial" w:cs="Arial" w:eastAsia="Arial" w:hAnsi="Arial"/>
          <w:b w:val="false"/>
          <w:bCs w:val="false"/>
          <w:i w:val="false"/>
          <w:iCs w:val="false"/>
          <w:color w:val="111111"/>
          <w:sz w:val="22"/>
          <w:szCs w:val="22"/>
        </w:rPr>
        <w:t xml:space="preserve">TSB quantifies the cost to society when the Human Value Function is suppressed — when W is held low by poverty, addiction, and trauma rather than allowed to rise. This is the equation that explains why governments spend more and more on social services and get less and less return: they are managing TSB rather than raising W.</w:t>
      </w:r>
    </w:p>
    <w:p>
      <w:pPr>
        <w:pStyle w:val="Heading2"/>
        <w:spacing w:before="240" w:after="100"/>
      </w:pPr>
      <w:r>
        <w:rPr>
          <w:rFonts w:ascii="Arial" w:cs="Arial" w:eastAsia="Arial" w:hAnsi="Arial"/>
          <w:b/>
          <w:bCs/>
          <w:color w:val="0f3460"/>
          <w:sz w:val="24"/>
          <w:szCs w:val="24"/>
        </w:rPr>
        <w:t xml:space="preserve">4.1  The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TSB = (U + E + Wd + H + S) × Pop ÷ W</w:t>
      </w:r>
    </w:p>
    <w:p>
      <w:pPr>
        <w:pStyle w:val="Heading2"/>
        <w:spacing w:before="240" w:after="100"/>
      </w:pPr>
      <w:r>
        <w:rPr>
          <w:rFonts w:ascii="Arial" w:cs="Arial" w:eastAsia="Arial" w:hAnsi="Arial"/>
          <w:b/>
          <w:bCs/>
          <w:color w:val="0f3460"/>
          <w:sz w:val="24"/>
          <w:szCs w:val="24"/>
        </w:rPr>
        <w:t xml:space="preserve">4.2  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Definition &amp; benchmark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U</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Unemployment cost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Per-person annual cost of unemployment benefits, retraining, administration. Source: ESDC.</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Emergency services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Per-person EMS, policing, fire response attributed to social crisis. Source: Public Safety Canada.</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Wd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Welfare dependency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Direct payments + 30% admin multiplier. Source: Ontario Works + ESDC.</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H</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Healthcare burden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Mental health and addictions — inpatient, ED, crisis, medication. Source: CIHI.</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Systemic admin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Court, corrections, child services, regulatory overhead. Source: Department of Justice.</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Pop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Population at risk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Number of people in Limbic Prison state in the community.</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Human Value Function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Average W score of population at risk. Low W = high TSB. As W rises, TSB falls.</w:t>
            </w:r>
          </w:p>
        </w:tc>
      </w:tr>
    </w:tbl>
    <w:p>
      <w:pPr>
        <w:pStyle w:val="Heading2"/>
        <w:spacing w:before="240" w:after="100"/>
      </w:pPr>
      <w:r>
        <w:rPr>
          <w:rFonts w:ascii="Arial" w:cs="Arial" w:eastAsia="Arial" w:hAnsi="Arial"/>
          <w:b/>
          <w:bCs/>
          <w:color w:val="0f3460"/>
          <w:sz w:val="24"/>
          <w:szCs w:val="24"/>
        </w:rPr>
        <w:t xml:space="preserve">4.3  The key insight</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As W rises, TSB falls. The denominator grows. The same numerator divided by a larger W produces a smaller burden. The GSRT does not manage TSB — it raises W. The burden resolves itself.</w:t>
      </w:r>
    </w:p>
    <w:p>
      <w:pPr>
        <w:pStyle w:val="Heading2"/>
        <w:spacing w:before="240" w:after="100"/>
      </w:pPr>
      <w:r>
        <w:rPr>
          <w:rFonts w:ascii="Arial" w:cs="Arial" w:eastAsia="Arial" w:hAnsi="Arial"/>
          <w:b/>
          <w:bCs/>
          <w:color w:val="0f3460"/>
          <w:sz w:val="24"/>
          <w:szCs w:val="24"/>
        </w:rPr>
        <w:t xml:space="preserve">4.4  Manitoba pilot financial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Scenario</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 (average)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TSB per person/yr</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Baseline — no programme</w:t>
            </w:r>
          </w:p>
        </w:tc>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 = 25 (Limbic Prison)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$120,000 (composite floor)</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Year 1 CCGBI — WHITE/BLUE</w:t>
            </w:r>
          </w:p>
        </w:tc>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 = 42 (early restoration)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$71,400 (41% reduction)</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Year 3 CCGBI — GREEN/YELLOW</w:t>
            </w:r>
          </w:p>
        </w:tc>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 = 61 (sovereign development)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$49,180 (59% reduction)</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Year 5 CCGBI — GOLD tier</w:t>
            </w:r>
          </w:p>
        </w:tc>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 = 85 (sovereign mastery)</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$35,300 (71% reduction)</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5 — The Antifragility Proof (VVV Multiplier)</w:t>
      </w:r>
    </w:p>
    <w:p>
      <w:pPr>
        <w:spacing w:before="0" w:after="140"/>
      </w:pPr>
      <w:r>
        <w:rPr>
          <w:rFonts w:ascii="Arial" w:cs="Arial" w:eastAsia="Arial" w:hAnsi="Arial"/>
          <w:b w:val="false"/>
          <w:bCs w:val="false"/>
          <w:i w:val="false"/>
          <w:iCs w:val="false"/>
          <w:color w:val="111111"/>
          <w:sz w:val="22"/>
          <w:szCs w:val="22"/>
        </w:rPr>
        <w:t xml:space="preserve">The VVV Multiplier is the mathematical proof that this system grows stronger under pressure rather than weaker. It is the integrity firewall of the GTT/CEP data stream. Values · Virtues · Veterans. Constant: 3.16875.</w:t>
      </w:r>
    </w:p>
    <w:p>
      <w:pPr>
        <w:pStyle w:val="Heading2"/>
        <w:spacing w:before="240" w:after="100"/>
      </w:pPr>
      <w:r>
        <w:rPr>
          <w:rFonts w:ascii="Arial" w:cs="Arial" w:eastAsia="Arial" w:hAnsi="Arial"/>
          <w:b/>
          <w:bCs/>
          <w:color w:val="0f3460"/>
          <w:sz w:val="24"/>
          <w:szCs w:val="24"/>
        </w:rPr>
        <w:t xml:space="preserve">5.1  The entropy reversal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ΔS_system = ΔS_external − (VVV × ΔS_sacrifice)</w:t>
      </w:r>
    </w:p>
    <w:p>
      <w:pPr>
        <w:pBdr>
          <w:left w:val="single" w:color="1F4E79" w:sz="14" w:space="6"/>
        </w:pBdr>
        <w:spacing w:before="100" w:after="100"/>
      </w:pPr>
      <w:r>
        <w:rPr>
          <w:rFonts w:ascii="Courier New" w:cs="Courier New" w:eastAsia="Courier New" w:hAnsi="Courier New"/>
          <w:b/>
          <w:bCs/>
          <w:color w:val="1F4E79"/>
          <w:sz w:val="22"/>
          <w:szCs w:val="22"/>
        </w:rPr>
        <w:t xml:space="preserve">    ΔS_system = 0.15 − (3.16875 × 0.12) = 0.15 − 0.38025 = −0.23025</w:t>
      </w:r>
    </w:p>
    <w:p>
      <w:pPr>
        <w:spacing w:before="0" w:after="140"/>
      </w:pPr>
      <w:r>
        <w:rPr>
          <w:rFonts w:ascii="Arial" w:cs="Arial" w:eastAsia="Arial" w:hAnsi="Arial"/>
          <w:b/>
          <w:bCs/>
          <w:i w:val="false"/>
          <w:iCs w:val="false"/>
          <w:color w:val="111111"/>
          <w:sz w:val="22"/>
          <w:szCs w:val="22"/>
        </w:rPr>
        <w:t xml:space="preserve">Negative value = order increasing. The system gains more structure as external chaos rises. This is not resilience (bouncing back). This is antifragility — getting stronger from stress.</w:t>
      </w:r>
    </w:p>
    <w:p>
      <w:pPr>
        <w:pStyle w:val="Heading2"/>
        <w:spacing w:before="240" w:after="100"/>
      </w:pPr>
      <w:r>
        <w:rPr>
          <w:rFonts w:ascii="Arial" w:cs="Arial" w:eastAsia="Arial" w:hAnsi="Arial"/>
          <w:b/>
          <w:bCs/>
          <w:color w:val="0f3460"/>
          <w:sz w:val="24"/>
          <w:szCs w:val="24"/>
        </w:rPr>
        <w:t xml:space="preserve">5.2  What VVV does</w:t>
      </w:r>
    </w:p>
    <w:p>
      <w:pPr>
        <w:pStyle w:val="ListParagraph"/>
        <w:numPr>
          <w:ilvl w:val="0"/>
          <w:numId w:val="2"/>
        </w:numPr>
        <w:spacing w:after="80"/>
      </w:pPr>
      <w:r>
        <w:rPr>
          <w:rFonts w:ascii="Arial" w:cs="Arial" w:eastAsia="Arial" w:hAnsi="Arial"/>
          <w:sz w:val="22"/>
          <w:szCs w:val="22"/>
        </w:rPr>
        <w:t xml:space="preserve">Scrubs unconscious or misaligned data packets from GTT/CEP network inputs</w:t>
      </w:r>
    </w:p>
    <w:p>
      <w:pPr>
        <w:pStyle w:val="ListParagraph"/>
        <w:numPr>
          <w:ilvl w:val="0"/>
          <w:numId w:val="2"/>
        </w:numPr>
        <w:spacing w:after="80"/>
      </w:pPr>
      <w:r>
        <w:rPr>
          <w:rFonts w:ascii="Arial" w:cs="Arial" w:eastAsia="Arial" w:hAnsi="Arial"/>
          <w:sz w:val="22"/>
          <w:szCs w:val="22"/>
        </w:rPr>
        <w:t xml:space="preserve">Ensures only values-aligned signals propagate through the Global Telephone Tag</w:t>
      </w:r>
    </w:p>
    <w:p>
      <w:pPr>
        <w:pStyle w:val="ListParagraph"/>
        <w:numPr>
          <w:ilvl w:val="0"/>
          <w:numId w:val="2"/>
        </w:numPr>
        <w:spacing w:after="80"/>
      </w:pPr>
      <w:r>
        <w:rPr>
          <w:rFonts w:ascii="Arial" w:cs="Arial" w:eastAsia="Arial" w:hAnsi="Arial"/>
          <w:sz w:val="22"/>
          <w:szCs w:val="22"/>
        </w:rPr>
        <w:t xml:space="preserve">The Lest We Forget Gate performs a secondary integrity pass behind it</w:t>
      </w:r>
    </w:p>
    <w:p>
      <w:pPr>
        <w:pStyle w:val="ListParagraph"/>
        <w:numPr>
          <w:ilvl w:val="0"/>
          <w:numId w:val="2"/>
        </w:numPr>
        <w:spacing w:after="80"/>
      </w:pPr>
      <w:r>
        <w:rPr>
          <w:rFonts w:ascii="Arial" w:cs="Arial" w:eastAsia="Arial" w:hAnsi="Arial"/>
          <w:sz w:val="22"/>
          <w:szCs w:val="22"/>
        </w:rPr>
        <w:t xml:space="preserve">Together they form the AI Halo IRF guidance architecture — the Trinity's conscience layer (Rose, Mildred, Jenny)</w:t>
      </w:r>
    </w:p>
    <w:p>
      <w:pPr>
        <w:pStyle w:val="Heading2"/>
        <w:spacing w:before="240" w:after="100"/>
      </w:pPr>
      <w:r>
        <w:rPr>
          <w:rFonts w:ascii="Arial" w:cs="Arial" w:eastAsia="Arial" w:hAnsi="Arial"/>
          <w:b/>
          <w:bCs/>
          <w:color w:val="0f3460"/>
          <w:sz w:val="24"/>
          <w:szCs w:val="24"/>
        </w:rPr>
        <w:t xml:space="preserve">5.3  VVV multiplier design</w:t>
      </w:r>
    </w:p>
    <w:p>
      <w:pPr>
        <w:spacing w:before="0" w:after="140"/>
      </w:pPr>
      <w:r>
        <w:rPr>
          <w:rFonts w:ascii="Arial" w:cs="Arial" w:eastAsia="Arial" w:hAnsi="Arial"/>
          <w:b w:val="false"/>
          <w:bCs w:val="false"/>
          <w:i/>
          <w:iCs/>
          <w:color w:val="111111"/>
          <w:sz w:val="22"/>
          <w:szCs w:val="22"/>
        </w:rPr>
        <w:t xml:space="preserve">The constant 3.16875 is a designed integrity constant — not a statistically derived variable. It was set to produce negative entropy at the minimum observed sacrifice-to-chaos ratio in the Kenya pilot. Pilot calibration against real GTT/CEP data is planned for Phase 1. The constant will be refined but the architecture holds regardless.</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6 — The GSRT Waterfall and Watershed</w:t>
      </w:r>
    </w:p>
    <w:p>
      <w:pPr>
        <w:spacing w:before="0" w:after="140"/>
      </w:pPr>
      <w:r>
        <w:rPr>
          <w:rFonts w:ascii="Arial" w:cs="Arial" w:eastAsia="Arial" w:hAnsi="Arial"/>
          <w:b w:val="false"/>
          <w:bCs w:val="false"/>
          <w:i w:val="false"/>
          <w:iCs w:val="false"/>
          <w:color w:val="111111"/>
          <w:sz w:val="22"/>
          <w:szCs w:val="22"/>
        </w:rPr>
        <w:t xml:space="preserve">The 20/40/20/10/10 waterfall is the financial justice engine. The watershed architecture shows how the system becomes self-sustaining and eventually produces perpetual civilizational value at zero government cost.</w:t>
      </w:r>
    </w:p>
    <w:p>
      <w:pPr>
        <w:pStyle w:val="Heading2"/>
        <w:spacing w:before="240" w:after="100"/>
      </w:pPr>
      <w:r>
        <w:rPr>
          <w:rFonts w:ascii="Arial" w:cs="Arial" w:eastAsia="Arial" w:hAnsi="Arial"/>
          <w:b/>
          <w:bCs/>
          <w:color w:val="0f3460"/>
          <w:sz w:val="24"/>
          <w:szCs w:val="24"/>
        </w:rPr>
        <w:t xml:space="preserve">6.1  Primary waterfall distribution</w:t>
      </w:r>
    </w:p>
    <w:p>
      <w:pPr>
        <w:pBdr>
          <w:left w:val="single" w:color="1F4E79" w:sz="14" w:space="6"/>
        </w:pBdr>
        <w:spacing w:before="100" w:after="100"/>
      </w:pPr>
      <w:r>
        <w:rPr>
          <w:rFonts w:ascii="Courier New" w:cs="Courier New" w:eastAsia="Courier New" w:hAnsi="Courier New"/>
          <w:b/>
          <w:bCs/>
          <w:color w:val="1F4E79"/>
          <w:sz w:val="22"/>
          <w:szCs w:val="22"/>
        </w:rPr>
        <w:t xml:space="preserve">    Gross Revenue → 20% Operations / 40% Participants / 20% Community / 10% Progression / 10% Scaling Reserve</w:t>
      </w:r>
    </w:p>
    <w:p>
      <w:pPr>
        <w:pStyle w:val="Heading2"/>
        <w:spacing w:before="240" w:after="100"/>
      </w:pPr>
      <w:r>
        <w:rPr>
          <w:rFonts w:ascii="Arial" w:cs="Arial" w:eastAsia="Arial" w:hAnsi="Arial"/>
          <w:b/>
          <w:bCs/>
          <w:color w:val="0f3460"/>
          <w:sz w:val="24"/>
          <w:szCs w:val="24"/>
        </w:rPr>
        <w:t xml:space="preserve">6.2  Reverse Revenue Calculation — Dignity First</w:t>
      </w:r>
    </w:p>
    <w:p>
      <w:pPr>
        <w:spacing w:before="0" w:after="140"/>
      </w:pPr>
      <w:r>
        <w:rPr>
          <w:rFonts w:ascii="Arial" w:cs="Arial" w:eastAsia="Arial" w:hAnsi="Arial"/>
          <w:b w:val="false"/>
          <w:bCs w:val="false"/>
          <w:i w:val="false"/>
          <w:iCs w:val="false"/>
          <w:color w:val="111111"/>
          <w:sz w:val="22"/>
          <w:szCs w:val="22"/>
        </w:rPr>
        <w:t xml:space="preserve">The framework does not start with a budget and divide down. It starts with what participants need to live with dignity, then solves backward for required gross revenue:</w:t>
      </w:r>
    </w:p>
    <w:p>
      <w:pPr>
        <w:pBdr>
          <w:left w:val="single" w:color="1F4E79" w:sz="14" w:space="6"/>
        </w:pBdr>
        <w:spacing w:before="100" w:after="100"/>
      </w:pPr>
      <w:r>
        <w:rPr>
          <w:rFonts w:ascii="Courier New" w:cs="Courier New" w:eastAsia="Courier New" w:hAnsi="Courier New"/>
          <w:b/>
          <w:bCs/>
          <w:color w:val="1F4E79"/>
          <w:sz w:val="22"/>
          <w:szCs w:val="22"/>
        </w:rPr>
        <w:t xml:space="preserve">    R = P ÷ 0.40</w:t>
      </w:r>
      <w:r>
        <w:rPr>
          <w:rFonts w:ascii="Arial" w:cs="Arial" w:eastAsia="Arial" w:hAnsi="Arial"/>
          <w:i/>
          <w:iCs/>
          <w:color w:val="666666"/>
          <w:sz w:val="19"/>
          <w:szCs w:val="19"/>
        </w:rPr>
        <w:t xml:space="preserve">    ← Where R = gross revenue required, P = participant income target</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If a First Nations community needs $2M in direct worker income, the system requires $5M in gross restoration revenue to deliver it with the full Justice Floor intact. The workers' income defines the minimum viable revenue — always.</w:t>
      </w:r>
    </w:p>
    <w:p>
      <w:pPr>
        <w:pStyle w:val="Heading2"/>
        <w:spacing w:before="240" w:after="100"/>
      </w:pPr>
      <w:r>
        <w:rPr>
          <w:rFonts w:ascii="Arial" w:cs="Arial" w:eastAsia="Arial" w:hAnsi="Arial"/>
          <w:b/>
          <w:bCs/>
          <w:color w:val="0f3460"/>
          <w:sz w:val="24"/>
          <w:szCs w:val="24"/>
        </w:rPr>
        <w:t xml:space="preserve">6.3  The watershed architecture — secondary cascade</w:t>
      </w:r>
    </w:p>
    <w:p>
      <w:pPr>
        <w:pBdr>
          <w:left w:val="single" w:color="1F4E79" w:sz="14" w:space="6"/>
        </w:pBdr>
        <w:spacing w:before="100" w:after="100"/>
      </w:pPr>
      <w:r>
        <w:rPr>
          <w:rFonts w:ascii="Courier New" w:cs="Courier New" w:eastAsia="Courier New" w:hAnsi="Courier New"/>
          <w:b/>
          <w:bCs/>
          <w:color w:val="1F4E79"/>
          <w:sz w:val="22"/>
          <w:szCs w:val="22"/>
        </w:rPr>
        <w:t xml:space="preserve">    Step 1 — Scaling Stream: Scaling_Stream = 0.10 × Gross_Revenue</w:t>
      </w:r>
    </w:p>
    <w:p>
      <w:pPr>
        <w:pBdr>
          <w:left w:val="single" w:color="1F4E79" w:sz="14" w:space="6"/>
        </w:pBdr>
        <w:spacing w:before="100" w:after="100"/>
      </w:pPr>
      <w:r>
        <w:rPr>
          <w:rFonts w:ascii="Courier New" w:cs="Courier New" w:eastAsia="Courier New" w:hAnsi="Courier New"/>
          <w:b/>
          <w:bCs/>
          <w:color w:val="1F4E79"/>
          <w:sz w:val="22"/>
          <w:szCs w:val="22"/>
        </w:rPr>
        <w:t xml:space="preserve">    Step 2 — Both engines fed simultaneously from Day 1</w:t>
      </w:r>
    </w:p>
    <w:p>
      <w:pPr>
        <w:pBdr>
          <w:left w:val="single" w:color="1F4E79" w:sz="14" w:space="6"/>
        </w:pBdr>
        <w:spacing w:before="100" w:after="100"/>
      </w:pPr>
      <w:r>
        <w:rPr>
          <w:rFonts w:ascii="Courier New" w:cs="Courier New" w:eastAsia="Courier New" w:hAnsi="Courier New"/>
          <w:b/>
          <w:bCs/>
          <w:color w:val="1F4E79"/>
          <w:sz w:val="22"/>
          <w:szCs w:val="22"/>
        </w:rPr>
        <w:t xml:space="preserve">    Engine 1 (Progression): 50% to Aquifer + 50% to Four Rivers</w:t>
      </w:r>
    </w:p>
    <w:p>
      <w:pPr>
        <w:pBdr>
          <w:left w:val="single" w:color="1F4E79" w:sz="14" w:space="6"/>
        </w:pBdr>
        <w:spacing w:before="100" w:after="100"/>
      </w:pPr>
      <w:r>
        <w:rPr>
          <w:rFonts w:ascii="Courier New" w:cs="Courier New" w:eastAsia="Courier New" w:hAnsi="Courier New"/>
          <w:b/>
          <w:bCs/>
          <w:color w:val="1F4E79"/>
          <w:sz w:val="22"/>
          <w:szCs w:val="22"/>
        </w:rPr>
        <w:t xml:space="preserve">    Engine 2 (Scaling Reserve): 50% to Aquifer + 50% to Four Rivers</w:t>
      </w:r>
    </w:p>
    <w:p>
      <w:pPr>
        <w:pBdr>
          <w:left w:val="single" w:color="1F4E79" w:sz="14" w:space="6"/>
        </w:pBdr>
        <w:spacing w:before="100" w:after="100"/>
      </w:pPr>
      <w:r>
        <w:rPr>
          <w:rFonts w:ascii="Courier New" w:cs="Courier New" w:eastAsia="Courier New" w:hAnsi="Courier New"/>
          <w:b/>
          <w:bCs/>
          <w:color w:val="1F4E79"/>
          <w:sz w:val="22"/>
          <w:szCs w:val="22"/>
        </w:rPr>
        <w:t xml:space="preserve">    Aquifer_Recharge = 0.10 × Gross_Revenue (both engines combined)</w:t>
      </w:r>
    </w:p>
    <w:p>
      <w:pPr>
        <w:pStyle w:val="Heading2"/>
        <w:spacing w:before="240" w:after="100"/>
      </w:pPr>
      <w:r>
        <w:rPr>
          <w:rFonts w:ascii="Arial" w:cs="Arial" w:eastAsia="Arial" w:hAnsi="Arial"/>
          <w:b/>
          <w:bCs/>
          <w:color w:val="0f3460"/>
          <w:sz w:val="24"/>
          <w:szCs w:val="24"/>
        </w:rPr>
        <w:t xml:space="preserve">6.4  Seed repayment proof</w:t>
      </w:r>
    </w:p>
    <w:p>
      <w:pPr>
        <w:pBdr>
          <w:left w:val="single" w:color="1F4E79" w:sz="14" w:space="6"/>
        </w:pBdr>
        <w:spacing w:before="100" w:after="100"/>
      </w:pPr>
      <w:r>
        <w:rPr>
          <w:rFonts w:ascii="Courier New" w:cs="Courier New" w:eastAsia="Courier New" w:hAnsi="Courier New"/>
          <w:b/>
          <w:bCs/>
          <w:color w:val="1F4E79"/>
          <w:sz w:val="22"/>
          <w:szCs w:val="22"/>
        </w:rPr>
        <w:t xml:space="preserve">    Aquifer_5yr cumulative = 0.50 × Gross_Revenue_Total</w:t>
      </w:r>
    </w:p>
    <w:p>
      <w:pPr>
        <w:pBdr>
          <w:left w:val="single" w:color="1F4E79" w:sz="14" w:space="6"/>
        </w:pBdr>
        <w:spacing w:before="100" w:after="100"/>
      </w:pPr>
      <w:r>
        <w:rPr>
          <w:rFonts w:ascii="Courier New" w:cs="Courier New" w:eastAsia="Courier New" w:hAnsi="Courier New"/>
          <w:b/>
          <w:bCs/>
          <w:color w:val="1F4E79"/>
          <w:sz w:val="22"/>
          <w:szCs w:val="22"/>
        </w:rPr>
        <w:t xml:space="preserve">    Seed repayment: 0.50R = $18.5M → R = $37M cumulative gross revenue</w:t>
      </w:r>
    </w:p>
    <w:p>
      <w:pPr>
        <w:spacing w:before="0" w:after="140"/>
      </w:pPr>
      <w:r>
        <w:rPr>
          <w:rFonts w:ascii="Arial" w:cs="Arial" w:eastAsia="Arial" w:hAnsi="Arial"/>
          <w:b w:val="false"/>
          <w:bCs w:val="false"/>
          <w:i w:val="false"/>
          <w:iCs w:val="false"/>
          <w:color w:val="111111"/>
          <w:sz w:val="22"/>
          <w:szCs w:val="22"/>
        </w:rPr>
        <w:t xml:space="preserve">At $7.4M average gross revenue per year across active nodes — achievable in Year 1 at operational scale — the seed is fully repaid by Year 5. Kenya data supports Year 3.</w:t>
      </w:r>
    </w:p>
    <w:p>
      <w:pPr>
        <w:pStyle w:val="Heading2"/>
        <w:spacing w:before="240" w:after="100"/>
      </w:pPr>
      <w:r>
        <w:rPr>
          <w:rFonts w:ascii="Arial" w:cs="Arial" w:eastAsia="Arial" w:hAnsi="Arial"/>
          <w:b/>
          <w:bCs/>
          <w:color w:val="0f3460"/>
          <w:sz w:val="24"/>
          <w:szCs w:val="24"/>
        </w:rPr>
        <w:t xml:space="preserve">6.5  Why conservative numbers matter</w:t>
      </w:r>
    </w:p>
    <w:p>
      <w:pPr>
        <w:pStyle w:val="ListParagraph"/>
        <w:numPr>
          <w:ilvl w:val="0"/>
          <w:numId w:val="2"/>
        </w:numPr>
        <w:spacing w:after="80"/>
      </w:pPr>
      <w:r>
        <w:rPr>
          <w:rFonts w:ascii="Arial" w:cs="Arial" w:eastAsia="Arial" w:hAnsi="Arial"/>
          <w:sz w:val="22"/>
          <w:szCs w:val="22"/>
        </w:rPr>
        <w:t xml:space="preserve">Kenya pilot produced 500×+ ROI. Framework uses 10×.</w:t>
      </w:r>
    </w:p>
    <w:p>
      <w:pPr>
        <w:pStyle w:val="ListParagraph"/>
        <w:numPr>
          <w:ilvl w:val="0"/>
          <w:numId w:val="2"/>
        </w:numPr>
        <w:spacing w:after="80"/>
      </w:pPr>
      <w:r>
        <w:rPr>
          <w:rFonts w:ascii="Arial" w:cs="Arial" w:eastAsia="Arial" w:hAnsi="Arial"/>
          <w:sz w:val="22"/>
          <w:szCs w:val="22"/>
        </w:rPr>
        <w:t xml:space="preserve">Year 3 repayment demonstrated by Kenya. Framework uses Year 5.</w:t>
      </w:r>
    </w:p>
    <w:p>
      <w:pPr>
        <w:pStyle w:val="ListParagraph"/>
        <w:numPr>
          <w:ilvl w:val="0"/>
          <w:numId w:val="2"/>
        </w:numPr>
        <w:spacing w:after="80"/>
      </w:pPr>
      <w:r>
        <w:rPr>
          <w:rFonts w:ascii="Arial" w:cs="Arial" w:eastAsia="Arial" w:hAnsi="Arial"/>
          <w:sz w:val="22"/>
          <w:szCs w:val="22"/>
        </w:rPr>
        <w:t xml:space="preserve">Published land value increase: 30–64%. Framework uses 30%.</w:t>
      </w:r>
    </w:p>
    <w:p>
      <w:pPr>
        <w:pStyle w:val="ListParagraph"/>
        <w:numPr>
          <w:ilvl w:val="0"/>
          <w:numId w:val="2"/>
        </w:numPr>
        <w:spacing w:after="80"/>
      </w:pPr>
      <w:r>
        <w:rPr>
          <w:rFonts w:ascii="Arial" w:cs="Arial" w:eastAsia="Arial" w:hAnsi="Arial"/>
          <w:sz w:val="22"/>
          <w:szCs w:val="22"/>
        </w:rPr>
        <w:t xml:space="preserve">Published flood prevention ROI: 6–10×. Framework uses 5×.</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Every figure is set at or below the conservative floor of its published range. This was a deliberate design decision — documented policy of the Framework Architect.</w:t>
      </w:r>
    </w:p>
    <w:p>
      <w:pPr>
        <w:pStyle w:val="Heading2"/>
        <w:spacing w:before="240" w:after="100"/>
      </w:pPr>
      <w:r>
        <w:rPr>
          <w:rFonts w:ascii="Arial" w:cs="Arial" w:eastAsia="Arial" w:hAnsi="Arial"/>
          <w:b/>
          <w:bCs/>
          <w:color w:val="0f3460"/>
          <w:sz w:val="24"/>
          <w:szCs w:val="24"/>
        </w:rPr>
        <w:t xml:space="preserve">6.6  Participant income by colour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40"/>
        <w:gridCol w:w="2040"/>
        <w:gridCol w:w="1920"/>
        <w:gridCol w:w="192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Colour tier</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Annual income range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WHMIS certification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Elder supplement</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WHITE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$35,000–$42,000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Foundation — sorting, basic stewardship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N/A</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Entry level — no prior credentials required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BLUE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$42,000–$52,000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Health hazard — waterway remediation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$5,000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Water quality testing certification included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GREEN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$52,000–$62,000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Environmental — land/soil + psych hazard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$5,000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Psychological hazard certification — WHMIS Amendment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YELLOW</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$58,000–$68,000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Flammable + emergency response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$5,000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First responder and animal rescue certification</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BLACK</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$68,000–$82,000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Full hazmat — Black Orange Label (Earth)</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$8,000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Highest earthbound certification. Black Yellow Label (Space) available.</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GOLD</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$75,000–$95,000+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Master — systems design, mentorship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$12,000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Mother-Elder certification — paid institutional role</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7 — Lighthouse Resilience Programme — agency ROI mathematics</w:t>
      </w:r>
    </w:p>
    <w:p>
      <w:pPr>
        <w:spacing w:before="0" w:after="140"/>
      </w:pPr>
      <w:r>
        <w:rPr>
          <w:rFonts w:ascii="Arial" w:cs="Arial" w:eastAsia="Arial" w:hAnsi="Arial"/>
          <w:b w:val="false"/>
          <w:bCs w:val="false"/>
          <w:i w:val="false"/>
          <w:iCs w:val="false"/>
          <w:color w:val="111111"/>
          <w:sz w:val="22"/>
          <w:szCs w:val="22"/>
        </w:rPr>
        <w:t xml:space="preserve">The Lighthouse Resilience Programme operates at agency scale — the 20-person addiction services node. These equations are built on Ontario Health and Safety Board published data, ProQOL research, and conservative half-value inputs throughout.</w:t>
      </w:r>
    </w:p>
    <w:p>
      <w:pPr>
        <w:pStyle w:val="Heading2"/>
        <w:spacing w:before="240" w:after="100"/>
      </w:pPr>
      <w:r>
        <w:rPr>
          <w:rFonts w:ascii="Arial" w:cs="Arial" w:eastAsia="Arial" w:hAnsi="Arial"/>
          <w:b/>
          <w:bCs/>
          <w:color w:val="0f3460"/>
          <w:sz w:val="24"/>
          <w:szCs w:val="24"/>
        </w:rPr>
        <w:t xml:space="preserve">7.1  Current cost formula — pre-programme</w:t>
      </w:r>
    </w:p>
    <w:p>
      <w:pPr>
        <w:pBdr>
          <w:left w:val="single" w:color="1F4E79" w:sz="14" w:space="6"/>
        </w:pBdr>
        <w:spacing w:before="100" w:after="100"/>
      </w:pPr>
      <w:r>
        <w:rPr>
          <w:rFonts w:ascii="Courier New" w:cs="Courier New" w:eastAsia="Courier New" w:hAnsi="Courier New"/>
          <w:b/>
          <w:bCs/>
          <w:color w:val="1F4E79"/>
          <w:sz w:val="22"/>
          <w:szCs w:val="22"/>
        </w:rPr>
        <w:t xml:space="preserve">    Current Cost = (T + S + P + H + C) × n</w:t>
      </w:r>
    </w:p>
    <w:p>
      <w:pPr>
        <w:pBdr>
          <w:left w:val="single" w:color="1F4E79" w:sz="14" w:space="6"/>
        </w:pBdr>
        <w:spacing w:before="100" w:after="100"/>
      </w:pPr>
      <w:r>
        <w:rPr>
          <w:rFonts w:ascii="Courier New" w:cs="Courier New" w:eastAsia="Courier New" w:hAnsi="Courier New"/>
          <w:b/>
          <w:bCs/>
          <w:color w:val="1F4E79"/>
          <w:sz w:val="22"/>
          <w:szCs w:val="22"/>
        </w:rPr>
        <w:t xml:space="preserve">    = ($10,000 + $800 + $1,500 + $1,000 + $2,000) × 20 = $306,000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Definition &amp; benchmark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Turnover cost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$10,000 per person per year. Recruitment, onboarding, productivity loss. Source: Ontario H&amp;S Board.</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Sick day cost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$800 per person per year. 12.5 days average × $238/day wage equivalent.</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Presenteeism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$1,500 per person per year. Workers present but non-productive due to burnout.</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H</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Healthcare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$1,000 per person per year. EAP usage, benefits draw, medical leave.</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C</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Client complaint / rework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$2,000 per person per year. Service errors, grievances, administrative rework.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Node size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20 workers — standard addiction services team.</w:t>
            </w:r>
          </w:p>
        </w:tc>
      </w:tr>
    </w:tbl>
    <w:p>
      <w:pPr>
        <w:pStyle w:val="Heading2"/>
        <w:spacing w:before="240" w:after="100"/>
      </w:pPr>
      <w:r>
        <w:rPr>
          <w:rFonts w:ascii="Arial" w:cs="Arial" w:eastAsia="Arial" w:hAnsi="Arial"/>
          <w:b/>
          <w:bCs/>
          <w:color w:val="0f3460"/>
          <w:sz w:val="24"/>
          <w:szCs w:val="24"/>
        </w:rPr>
        <w:t xml:space="preserve">7.2  Projected cost formula — post-Lighthouse</w:t>
      </w:r>
    </w:p>
    <w:p>
      <w:pPr>
        <w:pBdr>
          <w:left w:val="single" w:color="1F4E79" w:sz="14" w:space="6"/>
        </w:pBdr>
        <w:spacing w:before="100" w:after="100"/>
      </w:pPr>
      <w:r>
        <w:rPr>
          <w:rFonts w:ascii="Courier New" w:cs="Courier New" w:eastAsia="Courier New" w:hAnsi="Courier New"/>
          <w:b/>
          <w:bCs/>
          <w:color w:val="1F4E79"/>
          <w:sz w:val="22"/>
          <w:szCs w:val="22"/>
        </w:rPr>
        <w:t xml:space="preserve">    Projected Cost = (T' + S' + P' + H' + C') × n</w:t>
      </w:r>
    </w:p>
    <w:p>
      <w:pPr>
        <w:pBdr>
          <w:left w:val="single" w:color="1F4E79" w:sz="14" w:space="6"/>
        </w:pBdr>
        <w:spacing w:before="100" w:after="100"/>
      </w:pPr>
      <w:r>
        <w:rPr>
          <w:rFonts w:ascii="Courier New" w:cs="Courier New" w:eastAsia="Courier New" w:hAnsi="Courier New"/>
          <w:b/>
          <w:bCs/>
          <w:color w:val="1F4E79"/>
          <w:sz w:val="22"/>
          <w:szCs w:val="22"/>
        </w:rPr>
        <w:t xml:space="preserve">    = ($7,500 + $600 + $1,125 + $750 + $1,500) × 20 = $229,500</w:t>
      </w:r>
    </w:p>
    <w:p>
      <w:pPr>
        <w:spacing w:before="0" w:after="140"/>
      </w:pPr>
      <w:r>
        <w:rPr>
          <w:rFonts w:ascii="Arial" w:cs="Arial" w:eastAsia="Arial" w:hAnsi="Arial"/>
          <w:b w:val="false"/>
          <w:bCs w:val="false"/>
          <w:i w:val="false"/>
          <w:iCs w:val="false"/>
          <w:color w:val="111111"/>
          <w:sz w:val="22"/>
          <w:szCs w:val="22"/>
        </w:rPr>
        <w:t xml:space="preserve">Conservative 25% reduction across all cost lines based on ProQOL improvement data.</w:t>
      </w:r>
    </w:p>
    <w:p>
      <w:pPr>
        <w:pStyle w:val="Heading2"/>
        <w:spacing w:before="240" w:after="100"/>
      </w:pPr>
      <w:r>
        <w:rPr>
          <w:rFonts w:ascii="Arial" w:cs="Arial" w:eastAsia="Arial" w:hAnsi="Arial"/>
          <w:b/>
          <w:bCs/>
          <w:color w:val="0f3460"/>
          <w:sz w:val="24"/>
          <w:szCs w:val="24"/>
        </w:rPr>
        <w:t xml:space="preserve">7.3  The savings — ΔCost</w:t>
      </w:r>
    </w:p>
    <w:p>
      <w:pPr>
        <w:pBdr>
          <w:left w:val="single" w:color="1F4E79" w:sz="14" w:space="6"/>
        </w:pBdr>
        <w:spacing w:before="100" w:after="100"/>
      </w:pPr>
      <w:r>
        <w:rPr>
          <w:rFonts w:ascii="Courier New" w:cs="Courier New" w:eastAsia="Courier New" w:hAnsi="Courier New"/>
          <w:b/>
          <w:bCs/>
          <w:color w:val="1F4E79"/>
          <w:sz w:val="22"/>
          <w:szCs w:val="22"/>
        </w:rPr>
        <w:t xml:space="preserve">    ΔCost = $306,000 − $229,500 = $76,500 per 20-person node per year</w:t>
      </w:r>
    </w:p>
    <w:p>
      <w:pPr>
        <w:pStyle w:val="Heading2"/>
        <w:spacing w:before="240" w:after="100"/>
      </w:pPr>
      <w:r>
        <w:rPr>
          <w:rFonts w:ascii="Arial" w:cs="Arial" w:eastAsia="Arial" w:hAnsi="Arial"/>
          <w:b/>
          <w:bCs/>
          <w:color w:val="0f3460"/>
          <w:sz w:val="24"/>
          <w:szCs w:val="24"/>
        </w:rPr>
        <w:t xml:space="preserve">7.4  Long-term projection</w:t>
      </w:r>
    </w:p>
    <w:p>
      <w:pPr>
        <w:pBdr>
          <w:left w:val="single" w:color="1F4E79" w:sz="14" w:space="6"/>
        </w:pBdr>
        <w:spacing w:before="100" w:after="100"/>
      </w:pPr>
      <w:r>
        <w:rPr>
          <w:rFonts w:ascii="Courier New" w:cs="Courier New" w:eastAsia="Courier New" w:hAnsi="Courier New"/>
          <w:b/>
          <w:bCs/>
          <w:color w:val="1F4E79"/>
          <w:sz w:val="22"/>
          <w:szCs w:val="22"/>
        </w:rPr>
        <w:t xml:space="preserve">    10-Year = ($76,500 × 10) + (54 × 10) + ($76,500 × 2) = $918,540 total value</w:t>
      </w:r>
    </w:p>
    <w:p>
      <w:pPr>
        <w:pStyle w:val="Heading2"/>
        <w:spacing w:before="240" w:after="100"/>
      </w:pPr>
      <w:r>
        <w:rPr>
          <w:rFonts w:ascii="Arial" w:cs="Arial" w:eastAsia="Arial" w:hAnsi="Arial"/>
          <w:b/>
          <w:bCs/>
          <w:color w:val="0f3460"/>
          <w:sz w:val="24"/>
          <w:szCs w:val="24"/>
        </w:rPr>
        <w:t xml:space="preserve">7.5  ROI proof</w:t>
      </w:r>
    </w:p>
    <w:p>
      <w:pPr>
        <w:pBdr>
          <w:left w:val="single" w:color="1F4E79" w:sz="14" w:space="6"/>
        </w:pBdr>
        <w:spacing w:before="100" w:after="100"/>
      </w:pPr>
      <w:r>
        <w:rPr>
          <w:rFonts w:ascii="Courier New" w:cs="Courier New" w:eastAsia="Courier New" w:hAnsi="Courier New"/>
          <w:b/>
          <w:bCs/>
          <w:color w:val="1F4E79"/>
          <w:sz w:val="22"/>
          <w:szCs w:val="22"/>
        </w:rPr>
        <w:t xml:space="preserve">    Programme cost per 20-person node: $9,238 (3-Day Lightning delivery + materials)</w:t>
      </w:r>
    </w:p>
    <w:p>
      <w:pPr>
        <w:pBdr>
          <w:left w:val="single" w:color="1F4E79" w:sz="14" w:space="6"/>
        </w:pBdr>
        <w:spacing w:before="100" w:after="100"/>
      </w:pPr>
      <w:r>
        <w:rPr>
          <w:rFonts w:ascii="Courier New" w:cs="Courier New" w:eastAsia="Courier New" w:hAnsi="Courier New"/>
          <w:b/>
          <w:bCs/>
          <w:color w:val="1F4E79"/>
          <w:sz w:val="22"/>
          <w:szCs w:val="22"/>
        </w:rPr>
        <w:t xml:space="preserve">    ROI = $76,500 ÷ $9,238 = $8.28 returned per $1 invested</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Source: ProQOL Scale V (Stamm, 2010); Ontario H&amp;S Board workplace mental health benchmarks; half-value inputs used throughout — actual ROI will be higher.</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8 — Total Annual Burnout Exposure Formula (E_ab)</w:t>
      </w:r>
    </w:p>
    <w:p>
      <w:pPr>
        <w:spacing w:before="0" w:after="140"/>
      </w:pPr>
      <w:r>
        <w:rPr>
          <w:rFonts w:ascii="Arial" w:cs="Arial" w:eastAsia="Arial" w:hAnsi="Arial"/>
          <w:b w:val="false"/>
          <w:bCs w:val="false"/>
          <w:i w:val="false"/>
          <w:iCs w:val="false"/>
          <w:color w:val="111111"/>
          <w:sz w:val="22"/>
          <w:szCs w:val="22"/>
        </w:rPr>
        <w:t xml:space="preserve">E_ab calculates the total risk an organization carries without the Lighthouse programme. It is the pre-investment justification number — the cost of doing nothing. Used to justify programme investment to boards, directors, and funders.</w:t>
      </w:r>
    </w:p>
    <w:p>
      <w:pPr>
        <w:pStyle w:val="Heading2"/>
        <w:spacing w:before="240" w:after="100"/>
      </w:pPr>
      <w:r>
        <w:rPr>
          <w:rFonts w:ascii="Arial" w:cs="Arial" w:eastAsia="Arial" w:hAnsi="Arial"/>
          <w:b/>
          <w:bCs/>
          <w:color w:val="0f3460"/>
          <w:sz w:val="24"/>
          <w:szCs w:val="24"/>
        </w:rPr>
        <w:t xml:space="preserve">8.1  The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E_ab = (W × T_r × $93,000) + (S_d × W_d) + (A_r × A_c) + M_i</w:t>
      </w:r>
    </w:p>
    <w:p>
      <w:pPr>
        <w:pStyle w:val="Heading2"/>
        <w:spacing w:before="240" w:after="100"/>
      </w:pPr>
      <w:r>
        <w:rPr>
          <w:rFonts w:ascii="Arial" w:cs="Arial" w:eastAsia="Arial" w:hAnsi="Arial"/>
          <w:b/>
          <w:bCs/>
          <w:color w:val="0f3460"/>
          <w:sz w:val="24"/>
          <w:szCs w:val="24"/>
        </w:rPr>
        <w:t xml:space="preserve">8.2  Variable definitions with Canadian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Definition &amp; benchmark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Workers at risk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Number of staff showing burnout indicators on ProQOL or BAT at baseline.</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T_r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Turnover rate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Proportion leaving in 12 months. Canadian social services average: 20%. Source: CAMH workforce data.</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$93,000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Full replacement cost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Recruitment + onboarding + 6-month ramp. Source: SHRM + Ontario H&amp;S Board.</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S_d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Sick days per worker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Canadian average 12.5 days/year. Source: Statistics Canada Labour Force Survey.</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W_d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Daily wage rate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$238/day equivalent for median social services worker.</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A_r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Adverse events per year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Client complaints, incident reports, regulatory triggers. Tracked in agency records.</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A_c</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Cost per adverse event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$2,500 average per event — investigation, legal review, remediation.</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M_i</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Moral injury carry cost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Annual cost of unresolved moral injury events. Default: $15,000 per 20-person team. Source: moral injury literature.</w:t>
            </w:r>
          </w:p>
        </w:tc>
      </w:tr>
    </w:tbl>
    <w:p>
      <w:pPr>
        <w:pStyle w:val="Heading2"/>
        <w:spacing w:before="240" w:after="100"/>
      </w:pPr>
      <w:r>
        <w:rPr>
          <w:rFonts w:ascii="Arial" w:cs="Arial" w:eastAsia="Arial" w:hAnsi="Arial"/>
          <w:b/>
          <w:bCs/>
          <w:color w:val="0f3460"/>
          <w:sz w:val="24"/>
          <w:szCs w:val="24"/>
        </w:rPr>
        <w:t xml:space="preserve">8.3  Conservative worked example — 20-person node</w:t>
      </w:r>
    </w:p>
    <w:p>
      <w:pPr>
        <w:pBdr>
          <w:left w:val="single" w:color="1F4E79" w:sz="14" w:space="6"/>
        </w:pBdr>
        <w:spacing w:before="100" w:after="100"/>
      </w:pPr>
      <w:r>
        <w:rPr>
          <w:rFonts w:ascii="Courier New" w:cs="Courier New" w:eastAsia="Courier New" w:hAnsi="Courier New"/>
          <w:b/>
          <w:bCs/>
          <w:color w:val="1F4E79"/>
          <w:sz w:val="22"/>
          <w:szCs w:val="22"/>
        </w:rPr>
        <w:t xml:space="preserve">    E_ab = (20 × 0.20 × $93,000) + (12.5 × $238 × 20) + (4 × $2,500) + $15,000</w:t>
      </w:r>
    </w:p>
    <w:p>
      <w:pPr>
        <w:pBdr>
          <w:left w:val="single" w:color="1F4E79" w:sz="14" w:space="6"/>
        </w:pBdr>
        <w:spacing w:before="100" w:after="100"/>
      </w:pPr>
      <w:r>
        <w:rPr>
          <w:rFonts w:ascii="Courier New" w:cs="Courier New" w:eastAsia="Courier New" w:hAnsi="Courier New"/>
          <w:b/>
          <w:bCs/>
          <w:color w:val="1F4E79"/>
          <w:sz w:val="22"/>
          <w:szCs w:val="22"/>
        </w:rPr>
        <w:t xml:space="preserve">         = $372,000 + $59,500 + $10,000 + $15,000 = $456,500 annual exposure</w:t>
      </w:r>
    </w:p>
    <w:p>
      <w:pPr>
        <w:spacing w:before="0" w:after="140"/>
      </w:pPr>
      <w:r>
        <w:rPr>
          <w:rFonts w:ascii="Arial" w:cs="Arial" w:eastAsia="Arial" w:hAnsi="Arial"/>
          <w:b w:val="false"/>
          <w:bCs w:val="false"/>
          <w:i w:val="false"/>
          <w:iCs w:val="false"/>
          <w:color w:val="111111"/>
          <w:sz w:val="22"/>
          <w:szCs w:val="22"/>
        </w:rPr>
        <w:t xml:space="preserve">A 20-person addiction services node carries $456,500 in annual burnout exposure without the Lighthouse programme. The programme costs $9,238. ROI at first year: 49.4×.</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9 — Lighthouse measurement system — clinical instruments</w:t>
      </w:r>
    </w:p>
    <w:p>
      <w:pPr>
        <w:spacing w:before="0" w:after="140"/>
      </w:pPr>
      <w:r>
        <w:rPr>
          <w:rFonts w:ascii="Arial" w:cs="Arial" w:eastAsia="Arial" w:hAnsi="Arial"/>
          <w:b w:val="false"/>
          <w:bCs w:val="false"/>
          <w:i w:val="false"/>
          <w:iCs w:val="false"/>
          <w:color w:val="111111"/>
          <w:sz w:val="22"/>
          <w:szCs w:val="22"/>
        </w:rPr>
        <w:t xml:space="preserve">Five validated clinical instruments plus one framework-specific instrument measure change at baseline, post-programme, and Day +30 and Day +90 follow-up.</w:t>
      </w:r>
    </w:p>
    <w:p>
      <w:pPr>
        <w:pStyle w:val="Heading2"/>
        <w:spacing w:before="240" w:after="100"/>
      </w:pPr>
      <w:r>
        <w:rPr>
          <w:rFonts w:ascii="Arial" w:cs="Arial" w:eastAsia="Arial" w:hAnsi="Arial"/>
          <w:b/>
          <w:bCs/>
          <w:color w:val="0f3460"/>
          <w:sz w:val="24"/>
          <w:szCs w:val="24"/>
        </w:rPr>
        <w:t xml:space="preserve">9.1  Instrument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Instrument</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What it measures</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Timing</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GSRT application</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ProQOL v5</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Compassion satisfaction, fatigue, and burnout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Baseline / Post / D+30 / D+90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Primary W input — R and M variables</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PSS-10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Perceived stress scale — 10 items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Baseline / Post / D+30 / D+90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N variable (neurochemical balance) inverse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BAT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Burnout Assessment Tool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Baseline / Post / D+30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Fe and Fm variables</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SAF</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Stress and Anxiety to Function Scale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Baseline / Post / D+30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 variable (boundary clarity)</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OCI</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Organizational Culture Inventory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Pre / Post organizational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V variable (virtue alignment) and Gv (guest virtue)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HIR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Human Improvement Ratio (GSRT)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Calculated from above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 ÷ ΔCost — framework-specific composite</w:t>
            </w:r>
          </w:p>
        </w:tc>
      </w:tr>
    </w:tbl>
    <w:p>
      <w:pPr>
        <w:pStyle w:val="Heading2"/>
        <w:spacing w:before="240" w:after="100"/>
      </w:pPr>
      <w:r>
        <w:rPr>
          <w:rFonts w:ascii="Arial" w:cs="Arial" w:eastAsia="Arial" w:hAnsi="Arial"/>
          <w:b/>
          <w:bCs/>
          <w:color w:val="0f3460"/>
          <w:sz w:val="24"/>
          <w:szCs w:val="24"/>
        </w:rPr>
        <w:t xml:space="preserve">9.2  Measurement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2400"/>
        <w:gridCol w:w="9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Instrument</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Baseline (Day 0)</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Post (Day 21/42)</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Follow-up (D+30 / D+90)</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Min threshold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ProQOL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3–5 points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PSS-10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10%</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BAT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D+90 only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Positive delta</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SAF</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D+30 only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Positive delta</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OCI</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Post 6-week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Culture shift visible</w:t>
            </w:r>
          </w:p>
        </w:tc>
      </w:tr>
    </w:tbl>
    <w:p>
      <w:pPr>
        <w:pStyle w:val="Heading2"/>
        <w:spacing w:before="240" w:after="100"/>
      </w:pPr>
      <w:r>
        <w:rPr>
          <w:rFonts w:ascii="Arial" w:cs="Arial" w:eastAsia="Arial" w:hAnsi="Arial"/>
          <w:b/>
          <w:bCs/>
          <w:color w:val="0f3460"/>
          <w:sz w:val="24"/>
          <w:szCs w:val="24"/>
        </w:rPr>
        <w:t xml:space="preserve">9.3  Executive KPI strip — what to show leaders</w:t>
      </w:r>
    </w:p>
    <w:p>
      <w:pPr>
        <w:pStyle w:val="ListParagraph"/>
        <w:numPr>
          <w:ilvl w:val="0"/>
          <w:numId w:val="2"/>
        </w:numPr>
        <w:spacing w:after="80"/>
      </w:pPr>
      <w:r>
        <w:rPr>
          <w:rFonts w:ascii="Arial" w:cs="Arial" w:eastAsia="Arial" w:hAnsi="Arial"/>
          <w:sz w:val="22"/>
          <w:szCs w:val="22"/>
        </w:rPr>
        <w:t xml:space="preserve">Δ Compassion Satisfaction (ProQOL) and Δ PSS vs baseline by block (A/B/C)</w:t>
      </w:r>
    </w:p>
    <w:p>
      <w:pPr>
        <w:pStyle w:val="ListParagraph"/>
        <w:numPr>
          <w:ilvl w:val="0"/>
          <w:numId w:val="2"/>
        </w:numPr>
        <w:spacing w:after="80"/>
      </w:pPr>
      <w:r>
        <w:rPr>
          <w:rFonts w:ascii="Arial" w:cs="Arial" w:eastAsia="Arial" w:hAnsi="Arial"/>
          <w:sz w:val="22"/>
          <w:szCs w:val="22"/>
        </w:rPr>
        <w:t xml:space="preserve">% participants with OCI ≥ +1.0 SD improvement</w:t>
      </w:r>
    </w:p>
    <w:p>
      <w:pPr>
        <w:pStyle w:val="ListParagraph"/>
        <w:numPr>
          <w:ilvl w:val="0"/>
          <w:numId w:val="2"/>
        </w:numPr>
        <w:spacing w:after="80"/>
      </w:pPr>
      <w:r>
        <w:rPr>
          <w:rFonts w:ascii="Arial" w:cs="Arial" w:eastAsia="Arial" w:hAnsi="Arial"/>
          <w:sz w:val="22"/>
          <w:szCs w:val="22"/>
        </w:rPr>
        <w:t xml:space="preserve">Huddle adoption: average number per week per team (post Day +30)</w:t>
      </w:r>
    </w:p>
    <w:p>
      <w:pPr>
        <w:pStyle w:val="ListParagraph"/>
        <w:numPr>
          <w:ilvl w:val="0"/>
          <w:numId w:val="2"/>
        </w:numPr>
        <w:spacing w:after="80"/>
      </w:pPr>
      <w:r>
        <w:rPr>
          <w:rFonts w:ascii="Arial" w:cs="Arial" w:eastAsia="Arial" w:hAnsi="Arial"/>
          <w:sz w:val="22"/>
          <w:szCs w:val="22"/>
        </w:rPr>
        <w:t xml:space="preserve">Early ROI preview: Δ sick-days × day-rate; Δ turnover intention</w:t>
      </w:r>
    </w:p>
    <w:p>
      <w:pPr>
        <w:pStyle w:val="ListParagraph"/>
        <w:numPr>
          <w:ilvl w:val="0"/>
          <w:numId w:val="2"/>
        </w:numPr>
        <w:spacing w:after="80"/>
      </w:pPr>
      <w:r>
        <w:rPr>
          <w:rFonts w:ascii="Arial" w:cs="Arial" w:eastAsia="Arial" w:hAnsi="Arial"/>
          <w:sz w:val="22"/>
          <w:szCs w:val="22"/>
        </w:rPr>
        <w:t xml:space="preserve">Minimum threshold by D+90: ≥15% sick-day reduction; ≥1 prevented resignation per 20 staff; PSS↓ ≥10%; ProQOL↑ ≥3–5 points</w:t>
      </w:r>
    </w:p>
    <w:p>
      <w:pPr>
        <w:pStyle w:val="Heading2"/>
        <w:spacing w:before="240" w:after="100"/>
      </w:pPr>
      <w:r>
        <w:rPr>
          <w:rFonts w:ascii="Arial" w:cs="Arial" w:eastAsia="Arial" w:hAnsi="Arial"/>
          <w:b/>
          <w:bCs/>
          <w:color w:val="0f3460"/>
          <w:sz w:val="24"/>
          <w:szCs w:val="24"/>
        </w:rPr>
        <w:t xml:space="preserve">9.4  Human Improvement Ratio (HIR)</w:t>
      </w:r>
    </w:p>
    <w:p>
      <w:pPr>
        <w:pBdr>
          <w:left w:val="single" w:color="1F4E79" w:sz="14" w:space="6"/>
        </w:pBdr>
        <w:spacing w:before="100" w:after="100"/>
      </w:pPr>
      <w:r>
        <w:rPr>
          <w:rFonts w:ascii="Courier New" w:cs="Courier New" w:eastAsia="Courier New" w:hAnsi="Courier New"/>
          <w:b/>
          <w:bCs/>
          <w:color w:val="1F4E79"/>
          <w:sz w:val="22"/>
          <w:szCs w:val="22"/>
        </w:rPr>
        <w:t xml:space="preserve">    HIR = W ÷ ΔCost</w:t>
      </w:r>
    </w:p>
    <w:p>
      <w:pPr>
        <w:spacing w:before="0" w:after="140"/>
      </w:pPr>
      <w:r>
        <w:rPr>
          <w:rFonts w:ascii="Arial" w:cs="Arial" w:eastAsia="Arial" w:hAnsi="Arial"/>
          <w:b w:val="false"/>
          <w:bCs w:val="false"/>
          <w:i w:val="false"/>
          <w:iCs w:val="false"/>
          <w:color w:val="111111"/>
          <w:sz w:val="22"/>
          <w:szCs w:val="22"/>
        </w:rPr>
        <w:t xml:space="preserve">Measures how much human value improvement accompanies every dollar of financial savings. A high HIR means the programme is creating genuine transformation, not just cost reduction. Target: HIR &gt; 5.0 by Day +90.</w:t>
      </w:r>
    </w:p>
    <w:p>
      <w:pPr>
        <w:pStyle w:val="Heading2"/>
        <w:spacing w:before="240" w:after="100"/>
      </w:pPr>
      <w:r>
        <w:rPr>
          <w:rFonts w:ascii="Arial" w:cs="Arial" w:eastAsia="Arial" w:hAnsi="Arial"/>
          <w:b/>
          <w:bCs/>
          <w:color w:val="0f3460"/>
          <w:sz w:val="24"/>
          <w:szCs w:val="24"/>
        </w:rPr>
        <w:t xml:space="preserve">9.5  Burnout Recovery Coefficient (BRC)</w:t>
      </w:r>
    </w:p>
    <w:p>
      <w:pPr>
        <w:pBdr>
          <w:left w:val="single" w:color="1F4E79" w:sz="14" w:space="6"/>
        </w:pBdr>
        <w:spacing w:before="100" w:after="100"/>
      </w:pPr>
      <w:r>
        <w:rPr>
          <w:rFonts w:ascii="Courier New" w:cs="Courier New" w:eastAsia="Courier New" w:hAnsi="Courier New"/>
          <w:b/>
          <w:bCs/>
          <w:color w:val="1F4E79"/>
          <w:sz w:val="22"/>
          <w:szCs w:val="22"/>
        </w:rPr>
        <w:t xml:space="preserve">    BRC = mean of (OCI + ProQOL + PSS + BAT + SAF deltas)</w:t>
      </w:r>
    </w:p>
    <w:p>
      <w:pPr>
        <w:spacing w:before="0" w:after="140"/>
      </w:pPr>
      <w:r>
        <w:rPr>
          <w:rFonts w:ascii="Arial" w:cs="Arial" w:eastAsia="Arial" w:hAnsi="Arial"/>
          <w:b w:val="false"/>
          <w:bCs w:val="false"/>
          <w:i w:val="false"/>
          <w:iCs w:val="false"/>
          <w:color w:val="111111"/>
          <w:sz w:val="22"/>
          <w:szCs w:val="22"/>
        </w:rPr>
        <w:t xml:space="preserve">Composite recovery score across all five instruments. Target: positive delta across all five by Day 42. A BRC above zero at Day +90 with positive ProQOL and declining PSS is the minimum programme success threshold.</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10 — Community ROI — four sectors</w:t>
      </w:r>
    </w:p>
    <w:p>
      <w:pPr>
        <w:spacing w:before="0" w:after="140"/>
      </w:pPr>
      <w:r>
        <w:rPr>
          <w:rFonts w:ascii="Arial" w:cs="Arial" w:eastAsia="Arial" w:hAnsi="Arial"/>
          <w:b w:val="false"/>
          <w:bCs w:val="false"/>
          <w:i w:val="false"/>
          <w:iCs w:val="false"/>
          <w:color w:val="111111"/>
          <w:sz w:val="22"/>
          <w:szCs w:val="22"/>
        </w:rPr>
        <w:t xml:space="preserve">The Community ROI model calculates measurable financial savings across four sectors when a single CCGBI restoration node is active. All values are conservative floors.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400"/>
        <w:gridCol w:w="288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Sector</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Equation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Conservative value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Source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Agency</w:t>
            </w:r>
          </w:p>
        </w:tc>
        <w:tc>
          <w:tcPr>
            <w:tcBorders>
              <w:top w:val="single" w:color="CCCCCC" w:sz="1"/>
              <w:left w:val="single" w:color="CCCCCC" w:sz="1"/>
              <w:bottom w:val="single" w:color="CCCCCC" w:sz="1"/>
              <w:right w:val="single" w:color="CCCCCC" w:sz="1"/>
            </w:tcBorders>
            <w:shd w:fill="EEF8FF" w:val="clear"/>
            <w:tcMar>
              <w:top w:type="dxa" w:w="80"/>
              <w:left w:type="dxa" w:w="140"/>
              <w:bottom w:type="dxa" w:w="80"/>
              <w:right w:type="dxa" w:w="140"/>
            </w:tcMar>
          </w:tcPr>
          <w:p>
            <w:r>
              <w:rPr>
                <w:rFonts w:ascii="Arial" w:cs="Arial" w:eastAsia="Arial" w:hAnsi="Arial"/>
                <w:b/>
                <w:bCs/>
                <w:color w:val="0f3460"/>
                <w:sz w:val="19"/>
                <w:szCs w:val="19"/>
              </w:rPr>
              <w:t xml:space="preserve">ΔCost_Agency = ΔT + ΔS + ΔP + ΔH + ΔC</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$76,500 per 20-person node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Section 7 — Lighthouse ROI</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Municipal</w:t>
            </w:r>
          </w:p>
        </w:tc>
        <w:tc>
          <w:tcPr>
            <w:tcBorders>
              <w:top w:val="single" w:color="CCCCCC" w:sz="1"/>
              <w:left w:val="single" w:color="CCCCCC" w:sz="1"/>
              <w:bottom w:val="single" w:color="CCCCCC" w:sz="1"/>
              <w:right w:val="single" w:color="CCCCCC" w:sz="1"/>
            </w:tcBorders>
            <w:shd w:fill="EEF8FF" w:val="clear"/>
            <w:tcMar>
              <w:top w:type="dxa" w:w="80"/>
              <w:left w:type="dxa" w:w="140"/>
              <w:bottom w:type="dxa" w:w="80"/>
              <w:right w:type="dxa" w:w="140"/>
            </w:tcMar>
          </w:tcPr>
          <w:p>
            <w:r>
              <w:rPr>
                <w:rFonts w:ascii="Arial" w:cs="Arial" w:eastAsia="Arial" w:hAnsi="Arial"/>
                <w:b/>
                <w:bCs/>
                <w:color w:val="0f3460"/>
                <w:sz w:val="19"/>
                <w:szCs w:val="19"/>
              </w:rPr>
              <w:t xml:space="preserve">ΔCost_Municipal = ΔEMS + ΔSanitation + ΔWater_lab</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$34,000 per active node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Ontario municipal budget data — half-value floor</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Household</w:t>
            </w:r>
          </w:p>
        </w:tc>
        <w:tc>
          <w:tcPr>
            <w:tcBorders>
              <w:top w:val="single" w:color="CCCCCC" w:sz="1"/>
              <w:left w:val="single" w:color="CCCCCC" w:sz="1"/>
              <w:bottom w:val="single" w:color="CCCCCC" w:sz="1"/>
              <w:right w:val="single" w:color="CCCCCC" w:sz="1"/>
            </w:tcBorders>
            <w:shd w:fill="EEF8FF" w:val="clear"/>
            <w:tcMar>
              <w:top w:type="dxa" w:w="80"/>
              <w:left w:type="dxa" w:w="140"/>
              <w:bottom w:type="dxa" w:w="80"/>
              <w:right w:type="dxa" w:w="140"/>
            </w:tcMar>
          </w:tcPr>
          <w:p>
            <w:r>
              <w:rPr>
                <w:rFonts w:ascii="Arial" w:cs="Arial" w:eastAsia="Arial" w:hAnsi="Arial"/>
                <w:b/>
                <w:bCs/>
                <w:color w:val="0f3460"/>
                <w:sz w:val="19"/>
                <w:szCs w:val="19"/>
              </w:rPr>
              <w:t xml:space="preserve">ΔIncome = CCGBI wage − welfare baseline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$35,000–$65,000 per household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Reverse Revenue Calculation + $120K Limbic Prison composite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Environmental</w:t>
            </w:r>
          </w:p>
        </w:tc>
        <w:tc>
          <w:tcPr>
            <w:tcBorders>
              <w:top w:val="single" w:color="CCCCCC" w:sz="1"/>
              <w:left w:val="single" w:color="CCCCCC" w:sz="1"/>
              <w:bottom w:val="single" w:color="CCCCCC" w:sz="1"/>
              <w:right w:val="single" w:color="CCCCCC" w:sz="1"/>
            </w:tcBorders>
            <w:shd w:fill="EEF8FF" w:val="clear"/>
            <w:tcMar>
              <w:top w:type="dxa" w:w="80"/>
              <w:left w:type="dxa" w:w="140"/>
              <w:bottom w:type="dxa" w:w="80"/>
              <w:right w:type="dxa" w:w="140"/>
            </w:tcMar>
          </w:tcPr>
          <w:p>
            <w:r>
              <w:rPr>
                <w:rFonts w:ascii="Arial" w:cs="Arial" w:eastAsia="Arial" w:hAnsi="Arial"/>
                <w:b/>
                <w:bCs/>
                <w:color w:val="0f3460"/>
                <w:sz w:val="19"/>
                <w:szCs w:val="19"/>
              </w:rPr>
              <w:t xml:space="preserve">Value_Env = Hectares × Land_Value_Delta + Flood_Prevention_ROI</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$50,000–$200,000 per node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Wharton 30% land value + Journal of Hydrology 5× flood ROI</w:t>
            </w:r>
          </w:p>
        </w:tc>
      </w:tr>
    </w:tbl>
    <w:p>
      <w:pPr>
        <w:pStyle w:val="Heading2"/>
        <w:spacing w:before="240" w:after="100"/>
      </w:pPr>
      <w:r>
        <w:rPr>
          <w:rFonts w:ascii="Arial" w:cs="Arial" w:eastAsia="Arial" w:hAnsi="Arial"/>
          <w:b/>
          <w:bCs/>
          <w:color w:val="0f3460"/>
          <w:sz w:val="24"/>
          <w:szCs w:val="24"/>
        </w:rPr>
        <w:t xml:space="preserve">Combined node summary — conservative floor</w:t>
      </w:r>
    </w:p>
    <w:p>
      <w:pPr>
        <w:pBdr>
          <w:left w:val="single" w:color="1F4E79" w:sz="14" w:space="6"/>
        </w:pBdr>
        <w:spacing w:before="100" w:after="100"/>
      </w:pPr>
      <w:r>
        <w:rPr>
          <w:rFonts w:ascii="Courier New" w:cs="Courier New" w:eastAsia="Courier New" w:hAnsi="Courier New"/>
          <w:b/>
          <w:bCs/>
          <w:color w:val="1F4E79"/>
          <w:sz w:val="22"/>
          <w:szCs w:val="22"/>
        </w:rPr>
        <w:t xml:space="preserve">    Total Node Value = $76,500 + $34,000 + $50,000 + $50,000 = $210,500 per active node per year</w:t>
      </w:r>
    </w:p>
    <w:p>
      <w:pPr>
        <w:spacing w:before="0" w:after="140"/>
      </w:pPr>
      <w:r>
        <w:rPr>
          <w:rFonts w:ascii="Arial" w:cs="Arial" w:eastAsia="Arial" w:hAnsi="Arial"/>
          <w:b w:val="false"/>
          <w:bCs w:val="false"/>
          <w:i w:val="false"/>
          <w:iCs w:val="false"/>
          <w:color w:val="111111"/>
          <w:sz w:val="22"/>
          <w:szCs w:val="22"/>
        </w:rPr>
        <w:t xml:space="preserve">One active 20-person restoration node generates a minimum of $210,500 in verified community value per year — across four independently measurable sectors. This is the basis for the outcomes-based ecological credit that the government purchases as anchor customer.</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11 — The Fishing Hole — Sovereign Manifestation Equation</w:t>
      </w:r>
    </w:p>
    <w:p>
      <w:pPr>
        <w:spacing w:before="0" w:after="140"/>
      </w:pPr>
      <w:r>
        <w:rPr>
          <w:rFonts w:ascii="Arial" w:cs="Arial" w:eastAsia="Arial" w:hAnsi="Arial"/>
          <w:b w:val="false"/>
          <w:bCs w:val="false"/>
          <w:i w:val="false"/>
          <w:iCs w:val="false"/>
          <w:color w:val="111111"/>
          <w:sz w:val="22"/>
          <w:szCs w:val="22"/>
        </w:rPr>
        <w:t xml:space="preserve">The terminal equation of the framework. When the human has moved through all five colour levels and arrived at Contented Sovereignty, this is the mathematics of what remains. Not an economic output. Not a clinical score. A state of being.</w:t>
      </w:r>
    </w:p>
    <w:p>
      <w:pPr>
        <w:pStyle w:val="Heading2"/>
        <w:spacing w:before="240" w:after="100"/>
      </w:pPr>
      <w:r>
        <w:rPr>
          <w:rFonts w:ascii="Arial" w:cs="Arial" w:eastAsia="Arial" w:hAnsi="Arial"/>
          <w:b/>
          <w:bCs/>
          <w:color w:val="0f3460"/>
          <w:sz w:val="24"/>
          <w:szCs w:val="24"/>
        </w:rPr>
        <w:t xml:space="preserve">11.1  The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S_Sovereign = (Heart × Soul) + (E_tool × Physical)</w:t>
      </w:r>
    </w:p>
    <w:p>
      <w:pPr>
        <w:pBdr>
          <w:left w:val="single" w:color="1F4E79" w:sz="14" w:space="6"/>
        </w:pBdr>
        <w:spacing w:before="100" w:after="100"/>
      </w:pPr>
      <w:r>
        <w:rPr>
          <w:rFonts w:ascii="Courier New" w:cs="Courier New" w:eastAsia="Courier New" w:hAnsi="Courier New"/>
          <w:b/>
          <w:bCs/>
          <w:color w:val="1F4E79"/>
          <w:sz w:val="22"/>
          <w:szCs w:val="22"/>
        </w:rPr>
        <w:t xml:space="preserve">    S_Sovereign = (1.0 × 1.0) + (E_tool × P) = 1 + creation</w:t>
      </w:r>
    </w:p>
    <w:p>
      <w:pPr>
        <w:pStyle w:val="Heading2"/>
        <w:spacing w:before="240" w:after="100"/>
      </w:pPr>
      <w:r>
        <w:rPr>
          <w:rFonts w:ascii="Arial" w:cs="Arial" w:eastAsia="Arial" w:hAnsi="Arial"/>
          <w:b/>
          <w:bCs/>
          <w:color w:val="0f3460"/>
          <w:sz w:val="24"/>
          <w:szCs w:val="24"/>
        </w:rPr>
        <w:t xml:space="preserve">11.2  What each term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Definition &amp; benchmark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Heart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Relational fullness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Secure attachment, community connection, Elder relationships. Value: 1.0 at sovereign mastery.</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Soul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Purpose alignment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Meaning, values integrity, spiritual grounding. Value: 1.0 at sovereign mastery.</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E_tool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Tool expression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The unique capability — craft, art, knowledge, skill — that the person contributes to the world.</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Physical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Embodied presence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The body in the world — skilled, safe, regulated, alive to sensation.</w:t>
            </w:r>
          </w:p>
        </w:tc>
      </w:tr>
    </w:tbl>
    <w:p>
      <w:pPr>
        <w:spacing w:before="0" w:after="140"/>
      </w:pPr>
      <w:r>
        <w:rPr>
          <w:rFonts w:ascii="Arial" w:cs="Arial" w:eastAsia="Arial" w:hAnsi="Arial"/>
          <w:b w:val="false"/>
          <w:bCs w:val="false"/>
          <w:i/>
          <w:iCs/>
          <w:color w:val="444444"/>
          <w:sz w:val="22"/>
          <w:szCs w:val="22"/>
        </w:rPr>
        <w:t xml:space="preserve">The human sits under the ancient tree, connected to the stars and the Arrow of Time, connected to everything but attached to nothing. The ego is in the boat. The awareness watches from the shore. The fishing line is in the water. Whatever comes — comes. Whatever leaves — leaves. This is the Fishing Hole.</w:t>
      </w:r>
    </w:p>
    <w:p>
      <w:pPr>
        <w:pStyle w:val="Heading2"/>
        <w:spacing w:before="240" w:after="100"/>
      </w:pPr>
      <w:r>
        <w:rPr>
          <w:rFonts w:ascii="Arial" w:cs="Arial" w:eastAsia="Arial" w:hAnsi="Arial"/>
          <w:b/>
          <w:bCs/>
          <w:color w:val="0f3460"/>
          <w:sz w:val="24"/>
          <w:szCs w:val="24"/>
        </w:rPr>
        <w:t xml:space="preserve">11.3  The journey — from W=0 to the Fishing 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40"/>
        <w:gridCol w:w="2040"/>
        <w:gridCol w:w="384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Stage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 range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Colour level</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What is happening</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Entry — Limbic Prison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W = 0–25</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Pre-WHITE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Neurochemical poverty. $120,000/year TSB. Crisis loop.</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Emergence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W = 26–40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WHITE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Sorting. First income. First credential. First regulated nervous system moment.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Deepening</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W = 41–55</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BLUE–GREEN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Flow and growth. Waterway and land work. Shadow beginning to integrate.</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Courage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W = 56–70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YELLOW–BLACK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Emergency competence. Hazmat mastery. Shadow fully confronted.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Sovereign mastery</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W = 71–85</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Mother-Elder. Mentorship. System design. Legacy building.</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The Fishing Hole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W = 86–100+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Beyond 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S_Sovereign = 1 + creation. Connected to everything, attached to nothing.</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12 — Evidence floors — published sources</w:t>
      </w:r>
    </w:p>
    <w:p>
      <w:pPr>
        <w:spacing w:before="0" w:after="140"/>
      </w:pPr>
      <w:r>
        <w:rPr>
          <w:rFonts w:ascii="Arial" w:cs="Arial" w:eastAsia="Arial" w:hAnsi="Arial"/>
          <w:b w:val="false"/>
          <w:bCs w:val="false"/>
          <w:i w:val="false"/>
          <w:iCs w:val="false"/>
          <w:color w:val="111111"/>
          <w:sz w:val="22"/>
          <w:szCs w:val="22"/>
        </w:rPr>
        <w:t xml:space="preserve">Every financial claim in this framework is set at or below the conservative floor of its published evidence range. The Citations &amp; Evidence Addendum (Appendix A of the Master Manual) provides full source documentation for each figure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680"/>
        <w:gridCol w:w="2040"/>
        <w:gridCol w:w="180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Claim</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Value used</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Published range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Primary source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Addendum ref</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Limbic Prison annual cost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$120,000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$105K–$130K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CIHI + Public Safety Canada + ESDC</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Evidence 1</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Sovereign ROI swing</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$185,000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$175K–$195K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Evidence 1 composite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Evidence 1</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Land value from greening</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30%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30%–64%</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Wharton School / PA Env. Digest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Evidence 2</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Flood prevention ROI</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5× cheaper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6–10×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Journal of Hydrology (2024); EPA (2025)</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Evidence 3</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Lighthouse ROI</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$8.28 per $1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Data supports higher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ProQOL + H&amp;S Board — half-value inputs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Evidence 4</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VVV Multiplier</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3.16875 (designed)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Pilot calibration pending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Kenya field validation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Evidence 5</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13 — Open partner workbenches</w:t>
      </w:r>
    </w:p>
    <w:p>
      <w:pPr>
        <w:spacing w:before="0" w:after="140"/>
      </w:pPr>
      <w:r>
        <w:rPr>
          <w:rFonts w:ascii="Arial" w:cs="Arial" w:eastAsia="Arial" w:hAnsi="Arial"/>
          <w:b w:val="false"/>
          <w:bCs w:val="false"/>
          <w:i w:val="false"/>
          <w:iCs w:val="false"/>
          <w:color w:val="111111"/>
          <w:sz w:val="22"/>
          <w:szCs w:val="22"/>
        </w:rPr>
        <w:t xml:space="preserve">Blank templates for institutional partners, pilot communities, and government reviewers to populate with their own local data. All equations remain fixed. Only the input values change. Reviewers may substitute their own unit costs — the architecture holds regardless.</w:t>
      </w:r>
    </w:p>
    <w:p>
      <w:pPr>
        <w:pStyle w:val="Heading2"/>
        <w:spacing w:before="240" w:after="100"/>
      </w:pPr>
      <w:r>
        <w:rPr>
          <w:rFonts w:ascii="Arial" w:cs="Arial" w:eastAsia="Arial" w:hAnsi="Arial"/>
          <w:b/>
          <w:bCs/>
          <w:color w:val="0f3460"/>
          <w:sz w:val="24"/>
          <w:szCs w:val="24"/>
        </w:rPr>
        <w:t xml:space="preserve">13.1  Human Value Workbench — see Section 1.4</w:t>
      </w:r>
    </w:p>
    <w:p>
      <w:pPr>
        <w:pStyle w:val="Heading2"/>
        <w:spacing w:before="240" w:after="100"/>
      </w:pPr>
      <w:r>
        <w:rPr>
          <w:rFonts w:ascii="Arial" w:cs="Arial" w:eastAsia="Arial" w:hAnsi="Arial"/>
          <w:b/>
          <w:bCs/>
          <w:color w:val="0f3460"/>
          <w:sz w:val="24"/>
          <w:szCs w:val="24"/>
        </w:rPr>
        <w:t xml:space="preserve">13.2  Local Engine Workbench — see Section 2.4</w:t>
      </w:r>
    </w:p>
    <w:p>
      <w:pPr>
        <w:pStyle w:val="Heading2"/>
        <w:spacing w:before="240" w:after="100"/>
      </w:pPr>
      <w:r>
        <w:rPr>
          <w:rFonts w:ascii="Arial" w:cs="Arial" w:eastAsia="Arial" w:hAnsi="Arial"/>
          <w:b/>
          <w:bCs/>
          <w:color w:val="0f3460"/>
          <w:sz w:val="24"/>
          <w:szCs w:val="24"/>
        </w:rPr>
        <w:t xml:space="preserve">13.3  Agency ROI Workbench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Cost line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Your current cost/person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Projected post-LRP</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Your ΔCost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T — Turnover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 — Sick days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P — Presenteeism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H — Healthcare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C — Client rework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n — Node size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Your total ΔCost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bl>
    <w:p>
      <w:pPr>
        <w:pStyle w:val="Heading2"/>
        <w:spacing w:before="240" w:after="100"/>
      </w:pPr>
      <w:r>
        <w:rPr>
          <w:rFonts w:ascii="Arial" w:cs="Arial" w:eastAsia="Arial" w:hAnsi="Arial"/>
          <w:b/>
          <w:bCs/>
          <w:color w:val="0f3460"/>
          <w:sz w:val="24"/>
          <w:szCs w:val="24"/>
        </w:rPr>
        <w:t xml:space="preserve">13.4  Community ROI Workbench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Sector</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Your local value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How you measured it</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Source / notes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Agency sector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Municipal sector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Household sector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Environmental sector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TOTAL NODE VALUE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bl>
    <w:p>
      <w:pPr>
        <w:pBdr>
          <w:top w:val="single" w:color="B8860B" w:sz="4" w:space="1"/>
        </w:pBdr>
        <w:spacing w:before="400" w:after="120"/>
        <w:jc w:val="center"/>
      </w:pPr>
      <w:r>
        <w:rPr>
          <w:rFonts w:ascii="Arial" w:cs="Arial" w:eastAsia="Arial" w:hAnsi="Arial"/>
          <w:b/>
          <w:bCs/>
          <w:color w:val="1F4E79"/>
          <w:sz w:val="28"/>
          <w:szCs w:val="28"/>
        </w:rPr>
        <w:t xml:space="preserve">The Mathematics of Integrity</w:t>
      </w:r>
    </w:p>
    <w:p>
      <w:pPr>
        <w:spacing w:before="0" w:after="140"/>
      </w:pPr>
      <w:r>
        <w:rPr>
          <w:rFonts w:ascii="Arial" w:cs="Arial" w:eastAsia="Arial" w:hAnsi="Arial"/>
          <w:b w:val="false"/>
          <w:bCs w:val="false"/>
          <w:i/>
          <w:iCs/>
          <w:color w:val="111111"/>
          <w:sz w:val="22"/>
          <w:szCs w:val="22"/>
        </w:rPr>
        <w:t xml:space="preserve">Every equation in this manual was designed to do one thing: make honesty measurable. Not to impress. Not to overwhelm. To give the people who hold the keys to healing — governments, Indigenous leaders, faith communities, clinicians — a number they can defend in an audit room, a boardroom, or a community circle.</w:t>
      </w:r>
    </w:p>
    <w:p>
      <w:pPr>
        <w:spacing w:before="0" w:after="140"/>
      </w:pPr>
      <w:r>
        <w:rPr>
          <w:rFonts w:ascii="Arial" w:cs="Arial" w:eastAsia="Arial" w:hAnsi="Arial"/>
          <w:b w:val="false"/>
          <w:bCs w:val="false"/>
          <w:i/>
          <w:iCs/>
          <w:color w:val="111111"/>
          <w:sz w:val="22"/>
          <w:szCs w:val="22"/>
        </w:rPr>
        <w:t xml:space="preserve">The numbers are conservative by policy. The framework is designed to under-promise and over-deliver. The pilot will produce real data. The real data will speak for itself. That is the commitment.</w:t>
      </w:r>
    </w:p>
    <w:p>
      <w:pPr>
        <w:spacing w:before="200" w:after="60"/>
        <w:jc w:val="center"/>
      </w:pPr>
      <w:r>
        <w:rPr>
          <w:rFonts w:ascii="Arial" w:cs="Arial" w:eastAsia="Arial" w:hAnsi="Arial"/>
          <w:b/>
          <w:bCs/>
          <w:color w:val="1F4E79"/>
          <w:sz w:val="22"/>
          <w:szCs w:val="22"/>
        </w:rPr>
        <w:t xml:space="preserve">Neil J. Schwab  ·  Framework Architect  ·  GSRT</w:t>
      </w:r>
    </w:p>
    <w:p>
      <w:pPr>
        <w:spacing w:after="60"/>
        <w:jc w:val="center"/>
      </w:pPr>
      <w:r>
        <w:rPr>
          <w:rFonts w:ascii="Arial" w:cs="Arial" w:eastAsia="Arial" w:hAnsi="Arial"/>
          <w:color w:val="555555"/>
          <w:sz w:val="20"/>
          <w:szCs w:val="20"/>
        </w:rPr>
        <w:t xml:space="preserve">neil.schwab@live.ca  ·  +1 (905) 868-6985  ·  Newmarket, Ontario, Canada  ·  February 2026</w:t>
      </w:r>
    </w:p>
    <w:p>
      <w:pPr>
        <w:spacing w:before="160"/>
        <w:jc w:val="center"/>
      </w:pPr>
      <w:r>
        <w:rPr>
          <w:rFonts w:ascii="Arial" w:cs="Arial" w:eastAsia="Arial" w:hAnsi="Arial"/>
          <w:b/>
          <w:bCs/>
          <w:color w:val="B8860B"/>
          <w:sz w:val="22"/>
          <w:szCs w:val="22"/>
        </w:rPr>
        <w:t xml:space="preserve">FORGIVE YESTERDAY  •  HEAL TODAY  •  FLOURISH TOMORROW  •  TOGETHER  •  PBTG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1"/>
      </w:pBdr>
      <w:jc w:val="center"/>
    </w:pPr>
    <w:r>
      <w:rPr>
        <w:rFonts w:ascii="Arial" w:cs="Arial" w:eastAsia="Arial" w:hAnsi="Arial"/>
        <w:color w:val="888888"/>
        <w:sz w:val="18"/>
        <w:szCs w:val="18"/>
      </w:rPr>
      <w:t xml:space="preserve">Forgive Yesterday  •  Heal Today  •  Flourish Tomorrow  •  Together  •  PBTG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1"/>
      </w:pBdr>
    </w:pPr>
    <w:r>
      <w:rPr>
        <w:rFonts w:ascii="Arial" w:cs="Arial" w:eastAsia="Arial" w:hAnsi="Arial"/>
        <w:color w:val="888888"/>
        <w:sz w:val="18"/>
        <w:szCs w:val="18"/>
      </w:rPr>
      <w:t xml:space="preserve">GSRT  |  Complete Mathematics Manual  |  Neil J. Schwab, Framework Architect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2026-03-02T01:53:21.705Z</dcterms:created>
  <dcterms:modified xsi:type="dcterms:W3CDTF">2026-03-02T01:53:21.706Z</dcterms:modified>
</cp:coreProperties>
</file>

<file path=docProps/custom.xml><?xml version="1.0" encoding="utf-8"?>
<Properties xmlns="http://schemas.openxmlformats.org/officeDocument/2006/custom-properties" xmlns:vt="http://schemas.openxmlformats.org/officeDocument/2006/docPropsVTypes"/>
</file>