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80"/>
        <w:jc w:val="center"/>
      </w:pPr>
      <w:r>
        <w:rPr>
          <w:rFonts w:ascii="Arial" w:cs="Arial" w:eastAsia="Arial" w:hAnsi="Arial"/>
          <w:b/>
          <w:bCs/>
          <w:color w:val="1F4E79"/>
          <w:sz w:val="96"/>
          <w:szCs w:val="96"/>
        </w:rPr>
        <w:t xml:space="preserve">GSRT</w:t>
      </w:r>
    </w:p>
    <w:p>
      <w:pPr>
        <w:spacing w:after="80"/>
        <w:jc w:val="center"/>
      </w:pPr>
      <w:r>
        <w:rPr>
          <w:rFonts w:ascii="Arial" w:cs="Arial" w:eastAsia="Arial" w:hAnsi="Arial"/>
          <w:b/>
          <w:bCs/>
          <w:color w:val="0f3460"/>
          <w:sz w:val="32"/>
          <w:szCs w:val="32"/>
        </w:rPr>
        <w:t xml:space="preserve">Global Stewardship &amp; Reconciliation Trust</w:t>
      </w:r>
    </w:p>
    <w:p>
      <w:pPr>
        <w:spacing w:after="80"/>
        <w:jc w:val="center"/>
      </w:pPr>
      <w:r>
        <w:rPr>
          <w:rFonts w:ascii="Arial" w:cs="Arial" w:eastAsia="Arial" w:hAnsi="Arial"/>
          <w:b/>
          <w:bCs/>
          <w:color w:val="B8860B"/>
          <w:sz w:val="44"/>
          <w:szCs w:val="44"/>
        </w:rPr>
        <w:t xml:space="preserve">SCHOOL INTEGRATION MANUAL</w:t>
      </w:r>
    </w:p>
    <w:p>
      <w:pPr>
        <w:spacing w:after="80"/>
        <w:jc w:val="center"/>
      </w:pPr>
      <w:r>
        <w:rPr>
          <w:rFonts w:ascii="Arial" w:cs="Arial" w:eastAsia="Arial" w:hAnsi="Arial"/>
          <w:color w:val="555555"/>
          <w:sz w:val="26"/>
          <w:szCs w:val="26"/>
        </w:rPr>
        <w:t xml:space="preserve">Educational Remodel &amp; Colour Integration Framework</w:t>
      </w:r>
    </w:p>
    <w:p>
      <w:pPr>
        <w:pBdr>
          <w:bottom w:val="single" w:color="CCCCCC" w:sz="2" w:space="1"/>
        </w:pBdr>
        <w:spacing w:after="200"/>
        <w:jc w:val="center"/>
      </w:pPr>
      <w:r>
        <w:rPr>
          <w:rFonts w:ascii="Arial" w:cs="Arial" w:eastAsia="Arial" w:hAnsi="Arial"/>
          <w:i/>
          <w:iCs/>
          <w:color w:val="666666"/>
          <w:sz w:val="22"/>
          <w:szCs w:val="22"/>
        </w:rPr>
        <w:t xml:space="preserve">COG 3 — The AI Integration  ·  CEP School Deployment  ·  Dream-to-Skill Pipeline</w:t>
      </w:r>
    </w:p>
    <w:p>
      <w:pPr>
        <w:spacing w:before="200" w:after="60"/>
        <w:jc w:val="center"/>
      </w:pPr>
      <w:r>
        <w:rPr>
          <w:rFonts w:ascii="Arial" w:cs="Arial" w:eastAsia="Arial" w:hAnsi="Arial"/>
          <w:b/>
          <w:bCs/>
          <w:color w:val="1F4E79"/>
          <w:sz w:val="24"/>
          <w:szCs w:val="24"/>
        </w:rPr>
        <w:t xml:space="preserve">Neil J. Schwab  —  Framework Architect</w:t>
      </w:r>
    </w:p>
    <w:p>
      <w:pPr>
        <w:spacing w:after="60"/>
        <w:jc w:val="center"/>
      </w:pPr>
      <w:r>
        <w:rPr>
          <w:rFonts w:ascii="Arial" w:cs="Arial" w:eastAsia="Arial" w:hAnsi="Arial"/>
          <w:color w:val="555555"/>
          <w:sz w:val="20"/>
          <w:szCs w:val="20"/>
        </w:rPr>
        <w:t xml:space="preserve">neil.schwab@live.ca  ·  +1 (905) 868-6985  ·  Newmarket, Ontario, Canada</w:t>
      </w:r>
    </w:p>
    <w:p>
      <w:pPr>
        <w:spacing w:after="60"/>
        <w:jc w:val="center"/>
      </w:pPr>
      <w:r>
        <w:rPr>
          <w:rFonts w:ascii="Arial" w:cs="Arial" w:eastAsia="Arial" w:hAnsi="Arial"/>
          <w:color w:val="888888"/>
          <w:sz w:val="20"/>
          <w:szCs w:val="20"/>
        </w:rPr>
        <w:t xml:space="preserve">February 2026</w:t>
      </w:r>
    </w:p>
    <w:p>
      <w:pPr>
        <w:spacing w:before="300"/>
        <w:jc w:val="center"/>
      </w:pPr>
      <w:r>
        <w:rPr>
          <w:rFonts w:ascii="Arial" w:cs="Arial" w:eastAsia="Arial" w:hAnsi="Arial"/>
          <w:b/>
          <w:bCs/>
          <w:color w:val="B8860B"/>
          <w:sz w:val="22"/>
          <w:szCs w:val="22"/>
        </w:rPr>
        <w:t xml:space="preserve">FORGIVE YESTERDAY  •  HEAL TODAY  •  FLOURISH TOMORROW  •  TOGETHER  •  PBTG</w:t>
      </w:r>
    </w:p>
    <w:p>
      <w:pPr>
        <w:pStyle w:val="Heading1"/>
        <w:pBdr>
          <w:bottom w:val="single" w:color="B8860B" w:sz="4" w:space="1"/>
        </w:pBdr>
        <w:spacing w:before="280" w:after="140"/>
      </w:pPr>
      <w:r>
        <w:rPr>
          <w:rFonts w:ascii="Arial" w:cs="Arial" w:eastAsia="Arial" w:hAnsi="Arial"/>
          <w:b/>
          <w:bCs/>
          <w:color w:val="1F4E79"/>
          <w:sz w:val="30"/>
          <w:szCs w:val="30"/>
        </w:rPr>
        <w:t xml:space="preserve">Corrections applied — R1 to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Issue in R1</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Correction applied</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Location</w:t>
            </w:r>
          </w:p>
        </w:tc>
      </w:tr>
      <w:tr>
        <w:tc>
          <w:tcPr>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Arial" w:cs="Arial" w:eastAsia="Arial" w:hAnsi="Arial"/>
                <w:b w:val="false"/>
                <w:bCs w:val="false"/>
                <w:color w:val="8B0000"/>
                <w:sz w:val="19"/>
                <w:szCs w:val="19"/>
              </w:rPr>
              <w:t xml:space="preserve">Title: "Sovereign Companion Framework"</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GSRT throughout</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Cover, all section headings</w:t>
            </w:r>
          </w:p>
        </w:tc>
      </w:tr>
      <w:tr>
        <w:tc>
          <w:tcPr>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Arial" w:cs="Arial" w:eastAsia="Arial" w:hAnsi="Arial"/>
                <w:b w:val="false"/>
                <w:bCs w:val="false"/>
                <w:color w:val="8B0000"/>
                <w:sz w:val="19"/>
                <w:szCs w:val="19"/>
              </w:rPr>
              <w:t xml:space="preserve">No YELLOW tier in colour table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YELLOW added — Emergency &amp; Animal Care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Part 1, Parts 3–5, all colour tables</w:t>
            </w:r>
          </w:p>
        </w:tc>
      </w:tr>
      <w:tr>
        <w:tc>
          <w:tcPr>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Arial" w:cs="Arial" w:eastAsia="Arial" w:hAnsi="Arial"/>
                <w:b w:val="false"/>
                <w:bCs w:val="false"/>
                <w:color w:val="8B0000"/>
                <w:sz w:val="19"/>
                <w:szCs w:val="19"/>
              </w:rPr>
              <w:t xml:space="preserve">"WHIMS Spectrum" (misspelling)</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WHMIS Spectrum throughout</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Part 4 heading and all references</w:t>
            </w:r>
          </w:p>
        </w:tc>
      </w:tr>
      <w:tr>
        <w:tc>
          <w:tcPr>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Arial" w:cs="Arial" w:eastAsia="Arial" w:hAnsi="Arial"/>
                <w:b w:val="false"/>
                <w:bCs w:val="false"/>
                <w:color w:val="8B0000"/>
                <w:sz w:val="19"/>
                <w:szCs w:val="19"/>
              </w:rPr>
              <w:t xml:space="preserve">"Bionic Sidekick" references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AI Halo IRF throughout</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Parts 5, 6</w:t>
            </w:r>
          </w:p>
        </w:tc>
      </w:tr>
      <w:tr>
        <w:tc>
          <w:tcPr>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Arial" w:cs="Arial" w:eastAsia="Arial" w:hAnsi="Arial"/>
                <w:b w:val="false"/>
                <w:bCs w:val="false"/>
                <w:color w:val="8B0000"/>
                <w:sz w:val="19"/>
                <w:szCs w:val="19"/>
              </w:rPr>
              <w:t xml:space="preserve">Missing Animal Replenishment in civilizational streams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Animal Replenishment added as fourth river</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Part 6 — Dream-to-Skill Pipeline</w:t>
            </w:r>
          </w:p>
        </w:tc>
      </w:tr>
      <w:tr>
        <w:tc>
          <w:tcPr>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Arial" w:cs="Arial" w:eastAsia="Arial" w:hAnsi="Arial"/>
                <w:b w:val="false"/>
                <w:bCs w:val="false"/>
                <w:color w:val="8B0000"/>
                <w:sz w:val="19"/>
                <w:szCs w:val="19"/>
              </w:rPr>
              <w:t xml:space="preserve">Inconsistent closing tag</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Forgive Yesterday • Heal Today • Flourish Tomorrow • Together • PBTG</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All pages</w:t>
            </w:r>
          </w:p>
        </w:tc>
      </w:tr>
    </w:tbl>
    <w:p>
      <w:pPr>
        <w:pStyle w:val="Heading1"/>
        <w:pageBreakBefore/>
        <w:pBdr>
          <w:bottom w:val="single" w:color="B8860B" w:sz="4" w:space="1"/>
        </w:pBdr>
        <w:spacing w:before="360" w:after="140"/>
      </w:pPr>
      <w:r>
        <w:rPr>
          <w:rFonts w:ascii="Arial" w:cs="Arial" w:eastAsia="Arial" w:hAnsi="Arial"/>
          <w:b/>
          <w:bCs/>
          <w:color w:val="1F4E79"/>
          <w:sz w:val="30"/>
          <w:szCs w:val="30"/>
        </w:rPr>
        <w:t xml:space="preserve">Executive summary</w:t>
      </w:r>
    </w:p>
    <w:p>
      <w:pPr>
        <w:spacing w:before="0" w:after="140"/>
      </w:pPr>
      <w:r>
        <w:rPr>
          <w:rFonts w:ascii="Arial" w:cs="Arial" w:eastAsia="Arial" w:hAnsi="Arial"/>
          <w:b w:val="false"/>
          <w:bCs w:val="false"/>
          <w:i w:val="false"/>
          <w:iCs w:val="false"/>
          <w:color w:val="111111"/>
          <w:sz w:val="22"/>
          <w:szCs w:val="22"/>
        </w:rPr>
        <w:t xml:space="preserve">This manual consolidates the complete educational architecture of the GSRT framework. It maps WHMIS safety colour standards to emotional and developmental domains, provides the full school deployment protocol, and describes the Dream-to-Skill Pipeline through which every child's natural curiosity becomes a verified economic credential.</w:t>
      </w:r>
    </w:p>
    <w:p>
      <w:pPr>
        <w:spacing w:before="0" w:after="140"/>
      </w:pPr>
      <w:r>
        <w:rPr>
          <w:rFonts w:ascii="Arial" w:cs="Arial" w:eastAsia="Arial" w:hAnsi="Arial"/>
          <w:b w:val="false"/>
          <w:bCs w:val="false"/>
          <w:i w:val="false"/>
          <w:iCs w:val="false"/>
          <w:color w:val="111111"/>
          <w:sz w:val="22"/>
          <w:szCs w:val="22"/>
        </w:rPr>
        <w:t xml:space="preserve">The unifying insight: The same colours that keep workers safe with hazardous materials can guide children through emotional development. The planet needs healing workers. Children need meaningful pathways. The WHMIS colour system is the bridge between what the world needs and what a child can become — at any age, at any entry point, with any starting condition.</w:t>
      </w:r>
    </w:p>
    <w:p>
      <w:pPr>
        <w:pBdr>
          <w:top w:val="single" w:color="B8860B" w:sz="2" w:space="1"/>
          <w:bottom w:val="single" w:color="B8860B" w:sz="2" w:space="1"/>
          <w:left w:val="single" w:color="B8860B" w:sz="18" w:space="6"/>
        </w:pBdr>
        <w:spacing w:before="120" w:after="120"/>
      </w:pPr>
      <w:r>
        <w:rPr>
          <w:rFonts w:ascii="Arial" w:cs="Arial" w:eastAsia="Arial" w:hAnsi="Arial"/>
          <w:i/>
          <w:iCs/>
          <w:color w:val="333333"/>
          <w:sz w:val="22"/>
          <w:szCs w:val="22"/>
        </w:rPr>
        <w:t xml:space="preserve">  "We are not educating children for jobs that exist. We are educating children for a world that needs healing — and teaching them that healing the world and healing themselves is the same work."</w:t>
      </w:r>
    </w:p>
    <w:p>
      <w:pPr>
        <w:pStyle w:val="Heading1"/>
        <w:pageBreakBefore/>
        <w:pBdr>
          <w:bottom w:val="single" w:color="B8860B" w:sz="4" w:space="1"/>
        </w:pBdr>
        <w:spacing w:before="360" w:after="140"/>
      </w:pPr>
      <w:r>
        <w:rPr>
          <w:rFonts w:ascii="Arial" w:cs="Arial" w:eastAsia="Arial" w:hAnsi="Arial"/>
          <w:b/>
          <w:bCs/>
          <w:color w:val="1F4E79"/>
          <w:sz w:val="30"/>
          <w:szCs w:val="30"/>
        </w:rPr>
        <w:t xml:space="preserve">Part 1 — The colour foundation</w:t>
      </w:r>
    </w:p>
    <w:p>
      <w:pPr>
        <w:pStyle w:val="Heading2"/>
        <w:spacing w:before="240" w:after="100"/>
      </w:pPr>
      <w:r>
        <w:rPr>
          <w:rFonts w:ascii="Arial" w:cs="Arial" w:eastAsia="Arial" w:hAnsi="Arial"/>
          <w:b/>
          <w:bCs/>
          <w:color w:val="0f3460"/>
          <w:sz w:val="24"/>
          <w:szCs w:val="24"/>
        </w:rPr>
        <w:t xml:space="preserve">The WHMIS-emotion connection</w:t>
      </w:r>
    </w:p>
    <w:p>
      <w:pPr>
        <w:spacing w:before="0" w:after="140"/>
      </w:pPr>
      <w:r>
        <w:rPr>
          <w:rFonts w:ascii="Arial" w:cs="Arial" w:eastAsia="Arial" w:hAnsi="Arial"/>
          <w:b w:val="false"/>
          <w:bCs w:val="false"/>
          <w:i w:val="false"/>
          <w:iCs w:val="false"/>
          <w:color w:val="111111"/>
          <w:sz w:val="22"/>
          <w:szCs w:val="22"/>
        </w:rPr>
        <w:t xml:space="preserve">The GSRT maps WHMIS workplace safety colours to corresponding emotional states and developmental domains. This is not metaphor — it is architecture. The same colour that signals 'physical hazard' in a chemical plant signals 'emotional hazard territory' in a human developmental pathway. The same instinct that keeps a worker safe with dangerous materials keeps a child safe in difficult emotional terrain.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880"/>
        <w:gridCol w:w="3480"/>
      </w:tblGrid>
      <w:tr>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Colour</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WHMIS level</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Emotional state</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Developmental focus</w:t>
            </w:r>
          </w:p>
        </w:tc>
      </w:tr>
      <w:tr>
        <w:tc>
          <w:tcPr>
            <w:tcBorders>
              <w:top w:val="single" w:color="CCCCCC" w:sz="1"/>
              <w:left w:val="single" w:color="CCCCCC" w:sz="1"/>
              <w:bottom w:val="single" w:color="CCCCCC" w:sz="1"/>
              <w:right w:val="single" w:color="CCCCCC" w:sz="1"/>
            </w:tcBorders>
            <w:shd w:fill="E0E0E0" w:val="clear"/>
            <w:tcMar>
              <w:top w:type="dxa" w:w="80"/>
              <w:left w:type="dxa" w:w="140"/>
              <w:bottom w:type="dxa" w:w="80"/>
              <w:right w:type="dxa" w:w="140"/>
            </w:tcMar>
          </w:tcPr>
          <w:p>
            <w:r>
              <w:rPr>
                <w:rFonts w:ascii="Arial" w:cs="Arial" w:eastAsia="Arial" w:hAnsi="Arial"/>
                <w:b/>
                <w:bCs/>
                <w:color w:val="333333"/>
                <w:sz w:val="20"/>
                <w:szCs w:val="20"/>
              </w:rPr>
              <w:t xml:space="preserve">WHITE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Foundation</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Clarity, beginning, openness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Discernment — sorting value from waste. First W measurement.</w:t>
            </w:r>
          </w:p>
        </w:tc>
      </w:tr>
      <w:tr>
        <w:tc>
          <w:tcPr>
            <w:tcBorders>
              <w:top w:val="single" w:color="CCCCCC" w:sz="1"/>
              <w:left w:val="single" w:color="CCCCCC" w:sz="1"/>
              <w:bottom w:val="single" w:color="CCCCCC" w:sz="1"/>
              <w:right w:val="single" w:color="CCCCCC" w:sz="1"/>
            </w:tcBorders>
            <w:shd w:fill="BBDEFB" w:val="clear"/>
            <w:tcMar>
              <w:top w:type="dxa" w:w="80"/>
              <w:left w:type="dxa" w:w="140"/>
              <w:bottom w:type="dxa" w:w="80"/>
              <w:right w:type="dxa" w:w="140"/>
            </w:tcMar>
          </w:tcPr>
          <w:p>
            <w:r>
              <w:rPr>
                <w:rFonts w:ascii="Arial" w:cs="Arial" w:eastAsia="Arial" w:hAnsi="Arial"/>
                <w:b/>
                <w:bCs/>
                <w:color w:val="0D47A1"/>
                <w:sz w:val="20"/>
                <w:szCs w:val="20"/>
              </w:rPr>
              <w:t xml:space="preserve">BLUE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Health hazard</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Flow, depth, reflection</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Entering depth without drowning. Waterway work. Oxytocin activation.</w:t>
            </w:r>
          </w:p>
        </w:tc>
      </w:tr>
      <w:tr>
        <w:tc>
          <w:tcPr>
            <w:tcBorders>
              <w:top w:val="single" w:color="CCCCCC" w:sz="1"/>
              <w:left w:val="single" w:color="CCCCCC" w:sz="1"/>
              <w:bottom w:val="single" w:color="CCCCCC" w:sz="1"/>
              <w:right w:val="single" w:color="CCCCCC" w:sz="1"/>
            </w:tcBorders>
            <w:shd w:fill="C8E6C9" w:val="clear"/>
            <w:tcMar>
              <w:top w:type="dxa" w:w="80"/>
              <w:left w:type="dxa" w:w="140"/>
              <w:bottom w:type="dxa" w:w="80"/>
              <w:right w:type="dxa" w:w="140"/>
            </w:tcMar>
          </w:tcPr>
          <w:p>
            <w:r>
              <w:rPr>
                <w:rFonts w:ascii="Arial" w:cs="Arial" w:eastAsia="Arial" w:hAnsi="Arial"/>
                <w:b/>
                <w:bCs/>
                <w:color w:val="1B5E20"/>
                <w:sz w:val="20"/>
                <w:szCs w:val="20"/>
              </w:rPr>
              <w:t xml:space="preserve">GREEN</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Environmental</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Growth, patience, healing</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Rebuilding what was degraded. Land work. Serotonin baseline.</w:t>
            </w:r>
          </w:p>
        </w:tc>
      </w:tr>
      <w:tr>
        <w:tc>
          <w:tcPr>
            <w:tcBorders>
              <w:top w:val="single" w:color="CCCCCC" w:sz="1"/>
              <w:left w:val="single" w:color="CCCCCC" w:sz="1"/>
              <w:bottom w:val="single" w:color="CCCCCC" w:sz="1"/>
              <w:right w:val="single" w:color="CCCCCC" w:sz="1"/>
            </w:tcBorders>
            <w:shd w:fill="FFF9C4" w:val="clear"/>
            <w:tcMar>
              <w:top w:type="dxa" w:w="80"/>
              <w:left w:type="dxa" w:w="140"/>
              <w:bottom w:type="dxa" w:w="80"/>
              <w:right w:type="dxa" w:w="140"/>
            </w:tcMar>
          </w:tcPr>
          <w:p>
            <w:r>
              <w:rPr>
                <w:rFonts w:ascii="Arial" w:cs="Arial" w:eastAsia="Arial" w:hAnsi="Arial"/>
                <w:b/>
                <w:bCs/>
                <w:color w:val="E65100"/>
                <w:sz w:val="20"/>
                <w:szCs w:val="20"/>
              </w:rPr>
              <w:t xml:space="preserve">YELLOW</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Flammable/Emergency</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Warmth, caution, awareness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Emergency response, animal care. Endorphin and adrenaline regulation.</w:t>
            </w:r>
          </w:p>
        </w:tc>
      </w:tr>
      <w:tr>
        <w:tc>
          <w:tcPr>
            <w:tcBorders>
              <w:top w:val="single" w:color="CCCCCC" w:sz="1"/>
              <w:left w:val="single" w:color="CCCCCC" w:sz="1"/>
              <w:bottom w:val="single" w:color="CCCCCC" w:sz="1"/>
              <w:right w:val="single" w:color="CCCCCC" w:sz="1"/>
            </w:tcBorders>
            <w:shd w:fill="263238" w:val="clear"/>
            <w:tcMar>
              <w:top w:type="dxa" w:w="80"/>
              <w:left w:type="dxa" w:w="140"/>
              <w:bottom w:type="dxa" w:w="80"/>
              <w:right w:type="dxa" w:w="140"/>
            </w:tcMar>
          </w:tcPr>
          <w:p>
            <w:r>
              <w:rPr>
                <w:rFonts w:ascii="Arial" w:cs="Arial" w:eastAsia="Arial" w:hAnsi="Arial"/>
                <w:b/>
                <w:bCs/>
                <w:color w:val="FFFFFF"/>
                <w:sz w:val="20"/>
                <w:szCs w:val="20"/>
              </w:rPr>
              <w:t xml:space="preserve">BLACK</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Full hazmat</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Courage, gravity, transformation</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Confronting danger — hazmat and shadow. Full D.O.S.E. integration.</w:t>
            </w:r>
          </w:p>
        </w:tc>
      </w:tr>
      <w:tr>
        <w:tc>
          <w:tcPr>
            <w:tcBorders>
              <w:top w:val="single" w:color="CCCCCC" w:sz="1"/>
              <w:left w:val="single" w:color="CCCCCC" w:sz="1"/>
              <w:bottom w:val="single" w:color="CCCCCC" w:sz="1"/>
              <w:right w:val="single" w:color="CCCCCC" w:sz="1"/>
            </w:tcBorders>
            <w:shd w:fill="B8860B" w:val="clear"/>
            <w:tcMar>
              <w:top w:type="dxa" w:w="80"/>
              <w:left w:type="dxa" w:w="140"/>
              <w:bottom w:type="dxa" w:w="80"/>
              <w:right w:type="dxa" w:w="140"/>
            </w:tcMar>
          </w:tcPr>
          <w:p>
            <w:r>
              <w:rPr>
                <w:rFonts w:ascii="Arial" w:cs="Arial" w:eastAsia="Arial" w:hAnsi="Arial"/>
                <w:b/>
                <w:bCs/>
                <w:color w:val="FFFFFF"/>
                <w:sz w:val="20"/>
                <w:szCs w:val="20"/>
              </w:rPr>
              <w:t xml:space="preserve">GOLD</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Mastery</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Wisdom, sovereignty, illumination</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Systems design, mentorship, legacy. The Fishing Hole approaches.</w:t>
            </w:r>
          </w:p>
        </w:tc>
      </w:tr>
    </w:tbl>
    <w:p>
      <w:pPr>
        <w:pStyle w:val="Heading1"/>
        <w:pageBreakBefore/>
        <w:pBdr>
          <w:bottom w:val="single" w:color="B8860B" w:sz="4" w:space="1"/>
        </w:pBdr>
        <w:spacing w:before="360" w:after="140"/>
      </w:pPr>
      <w:r>
        <w:rPr>
          <w:rFonts w:ascii="Arial" w:cs="Arial" w:eastAsia="Arial" w:hAnsi="Arial"/>
          <w:b/>
          <w:bCs/>
          <w:color w:val="1F4E79"/>
          <w:sz w:val="30"/>
          <w:szCs w:val="30"/>
        </w:rPr>
        <w:t xml:space="preserve">Part 2 — The 12-colour expansion</w:t>
      </w:r>
    </w:p>
    <w:p>
      <w:pPr>
        <w:spacing w:before="0" w:after="140"/>
      </w:pPr>
      <w:r>
        <w:rPr>
          <w:rFonts w:ascii="Arial" w:cs="Arial" w:eastAsia="Arial" w:hAnsi="Arial"/>
          <w:b w:val="false"/>
          <w:bCs w:val="false"/>
          <w:i w:val="false"/>
          <w:iCs w:val="false"/>
          <w:color w:val="111111"/>
          <w:sz w:val="22"/>
          <w:szCs w:val="22"/>
        </w:rPr>
        <w:t xml:space="preserve">Each primary colour splits into three dimensions, creating 12 distinct learning pathways — each as different from the others as a person is from their neighbour, even within the same colour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Dimension</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What it represents</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How it is tracked</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Hue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Primary colour orientation — dominant frequency. The core identity of a person's relationship to the world.</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Identified by AI Halo IRF from age 4 onward via curiosity mapping. Foundation of palette — not ceiling.</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Shade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Adversity integrated — wisdom earned. Depth of experience and challenges overcome.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Tracked by Rose (Shadow Tracker). Update: Shade_new = Shade_old + shadow_integration_events × weight. Cap: 3.0.</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Tint</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Brightness brought to others — leadership capacity. How fully the person expresses their unique colour.</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Tracked by Jenny (Sunshine Tracker). Acts of kindness, creative breakthroughs, genuine laughter.</w:t>
            </w:r>
          </w:p>
        </w:tc>
      </w:tr>
    </w:tbl>
    <w:p>
      <w:pPr>
        <w:pStyle w:val="Heading2"/>
        <w:spacing w:before="240" w:after="100"/>
      </w:pPr>
      <w:r>
        <w:rPr>
          <w:rFonts w:ascii="Arial" w:cs="Arial" w:eastAsia="Arial" w:hAnsi="Arial"/>
          <w:b/>
          <w:bCs/>
          <w:color w:val="0f3460"/>
          <w:sz w:val="24"/>
          <w:szCs w:val="24"/>
        </w:rPr>
        <w:t xml:space="preserve">Palette Formation Equation</w:t>
      </w:r>
    </w:p>
    <w:p>
      <w:pPr>
        <w:pBdr>
          <w:left w:val="single" w:color="1F4E79" w:sz="14" w:space="6"/>
        </w:pBdr>
        <w:spacing w:before="100" w:after="100"/>
      </w:pPr>
      <w:r>
        <w:rPr>
          <w:rFonts w:ascii="Courier New" w:cs="Courier New" w:eastAsia="Courier New" w:hAnsi="Courier New"/>
          <w:b/>
          <w:bCs/>
          <w:color w:val="1F4E79"/>
          <w:sz w:val="22"/>
          <w:szCs w:val="22"/>
        </w:rPr>
        <w:t xml:space="preserve">    Palette_initial = (Curiosity × Guidance × Nourishment) ^ Time</w:t>
      </w:r>
    </w:p>
    <w:p>
      <w:pPr>
        <w:spacing w:before="0" w:after="140"/>
      </w:pPr>
      <w:r>
        <w:rPr>
          <w:rFonts w:ascii="Arial" w:cs="Arial" w:eastAsia="Arial" w:hAnsi="Arial"/>
          <w:b w:val="false"/>
          <w:bCs w:val="false"/>
          <w:i w:val="false"/>
          <w:iCs w:val="false"/>
          <w:color w:val="111111"/>
          <w:sz w:val="22"/>
          <w:szCs w:val="22"/>
        </w:rPr>
        <w:t xml:space="preserve">Where:</w:t>
      </w:r>
    </w:p>
    <w:p>
      <w:pPr>
        <w:pStyle w:val="ListParagraph"/>
        <w:numPr>
          <w:ilvl w:val="0"/>
          <w:numId w:val="2"/>
        </w:numPr>
        <w:spacing w:after="80"/>
      </w:pPr>
      <w:r>
        <w:rPr>
          <w:rFonts w:ascii="Arial" w:cs="Arial" w:eastAsia="Arial" w:hAnsi="Arial"/>
          <w:sz w:val="22"/>
          <w:szCs w:val="22"/>
        </w:rPr>
        <w:t xml:space="preserve">Curiosity = natural inclination toward specific domains (0.8–1.2)</w:t>
      </w:r>
    </w:p>
    <w:p>
      <w:pPr>
        <w:pStyle w:val="ListParagraph"/>
        <w:numPr>
          <w:ilvl w:val="0"/>
          <w:numId w:val="2"/>
        </w:numPr>
        <w:spacing w:after="80"/>
      </w:pPr>
      <w:r>
        <w:rPr>
          <w:rFonts w:ascii="Arial" w:cs="Arial" w:eastAsia="Arial" w:hAnsi="Arial"/>
          <w:sz w:val="22"/>
          <w:szCs w:val="22"/>
        </w:rPr>
        <w:t xml:space="preserve">Guidance = elders and mentors appearing when needed (0.7–1.3)</w:t>
      </w:r>
    </w:p>
    <w:p>
      <w:pPr>
        <w:pStyle w:val="ListParagraph"/>
        <w:numPr>
          <w:ilvl w:val="0"/>
          <w:numId w:val="2"/>
        </w:numPr>
        <w:spacing w:after="80"/>
      </w:pPr>
      <w:r>
        <w:rPr>
          <w:rFonts w:ascii="Arial" w:cs="Arial" w:eastAsia="Arial" w:hAnsi="Arial"/>
          <w:sz w:val="22"/>
          <w:szCs w:val="22"/>
        </w:rPr>
        <w:t xml:space="preserve">Nourishment = neurochemical flourishing from secure attachment (0.9–1.1)</w:t>
      </w:r>
    </w:p>
    <w:p>
      <w:pPr>
        <w:pStyle w:val="ListParagraph"/>
        <w:numPr>
          <w:ilvl w:val="0"/>
          <w:numId w:val="2"/>
        </w:numPr>
        <w:spacing w:after="80"/>
      </w:pPr>
      <w:r>
        <w:rPr>
          <w:rFonts w:ascii="Arial" w:cs="Arial" w:eastAsia="Arial" w:hAnsi="Arial"/>
          <w:sz w:val="22"/>
          <w:szCs w:val="22"/>
        </w:rPr>
        <w:t xml:space="preserve">Time = years of compounding (the earlier the better — but any age works)</w:t>
      </w:r>
    </w:p>
    <w:p>
      <w:pPr>
        <w:spacing w:before="0" w:after="140"/>
      </w:pPr>
      <w:r>
        <w:rPr>
          <w:rFonts w:ascii="Arial" w:cs="Arial" w:eastAsia="Arial" w:hAnsi="Arial"/>
          <w:b w:val="false"/>
          <w:bCs w:val="false"/>
          <w:i w:val="false"/>
          <w:iCs w:val="false"/>
          <w:color w:val="111111"/>
          <w:sz w:val="22"/>
          <w:szCs w:val="22"/>
        </w:rPr>
        <w:t xml:space="preserve">A child with curiosity 1.1, adequate guidance 1.0, and healthy nourishment 1.0 over 10 years develops a Palette of 1.1^10 = 2.84 — nearly three times the starting orientation intensity. The Mother-Elder relationship is designed to maximize Guidance. The CEP practice is designed to maximize Nourishment. The Dream-to-Skill Pipeline maximizes Curiosity expression.</w:t>
      </w:r>
    </w:p>
    <w:p>
      <w:pPr>
        <w:pStyle w:val="Heading1"/>
        <w:pageBreakBefore/>
        <w:pBdr>
          <w:bottom w:val="single" w:color="B8860B" w:sz="4" w:space="1"/>
        </w:pBdr>
        <w:spacing w:before="360" w:after="140"/>
      </w:pPr>
      <w:r>
        <w:rPr>
          <w:rFonts w:ascii="Arial" w:cs="Arial" w:eastAsia="Arial" w:hAnsi="Arial"/>
          <w:b/>
          <w:bCs/>
          <w:color w:val="1F4E79"/>
          <w:sz w:val="30"/>
          <w:szCs w:val="30"/>
        </w:rPr>
        <w:t xml:space="preserve">Part 3 — The curriculum map</w:t>
      </w:r>
    </w:p>
    <w:p>
      <w:pPr>
        <w:pStyle w:val="Heading2"/>
        <w:spacing w:before="240" w:after="100"/>
      </w:pPr>
      <w:r>
        <w:rPr>
          <w:rFonts w:ascii="Arial" w:cs="Arial" w:eastAsia="Arial" w:hAnsi="Arial"/>
          <w:b/>
          <w:bCs/>
          <w:color w:val="0f3460"/>
          <w:sz w:val="24"/>
          <w:szCs w:val="24"/>
        </w:rPr>
        <w:t xml:space="preserve">Colour-based learning pathways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60"/>
        <w:gridCol w:w="2160"/>
        <w:gridCol w:w="2160"/>
        <w:gridCol w:w="1980"/>
      </w:tblGrid>
      <w:tr>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Colour</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Practical work</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Inner development</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Elder teacher type</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CCGBI credential</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WHITE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Materials sorting, waste audit, basic stewardship</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Discernment, clarity, humility</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Depression-era survivors, immigrants — 'waste not' wisdom</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Foundation WHMIS</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BLUE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Waterway restoration, aquatic remediation, water quality testing</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Flow, reflection, care, adaptability</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Retired fishermen, sailors, coast guard, marine workers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Health hazard WHMIS</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GREEN</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Terrestrial restoration, soil remediation, reforestation</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Patience, growth, stewardship, hope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Retired farmers, gardeners, foresters, horticulturists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Environmental + psych hazard WHMIS</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YELLOW</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Emergency response, animal care and rescue, first responder skills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Awareness, courage, compassion, readiness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Retired first responders, paramedics, animal rescue veterans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Flammable + emergency WHMIS</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BLACK</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Hazardous materials handling, crisis leadership, shadow integration</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Transformation, gravity, resilience, courage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Industrial safety officers, hazmat specialists, factory veterans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Full hazmat WHMIS — Black Orange Label</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GOLD</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Systems design, mentorship, legacy projects, Mother-Elder role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Wisdom, sovereignty, integrity, joy</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Master craftspeople, project managers, environmental scientists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Master credential — GOLD tier</w:t>
            </w:r>
          </w:p>
        </w:tc>
      </w:tr>
    </w:tbl>
    <w:p>
      <w:pPr>
        <w:pStyle w:val="Heading1"/>
        <w:pageBreakBefore/>
        <w:pBdr>
          <w:bottom w:val="single" w:color="B8860B" w:sz="4" w:space="1"/>
        </w:pBdr>
        <w:spacing w:before="360" w:after="140"/>
      </w:pPr>
      <w:r>
        <w:rPr>
          <w:rFonts w:ascii="Arial" w:cs="Arial" w:eastAsia="Arial" w:hAnsi="Arial"/>
          <w:b/>
          <w:bCs/>
          <w:color w:val="1F4E79"/>
          <w:sz w:val="30"/>
          <w:szCs w:val="30"/>
        </w:rPr>
        <w:t xml:space="preserve">Part 4 — The WHMIS Spectrum</w:t>
      </w:r>
    </w:p>
    <w:p>
      <w:pPr>
        <w:spacing w:before="0" w:after="140"/>
      </w:pPr>
      <w:r>
        <w:rPr>
          <w:rFonts w:ascii="Arial" w:cs="Arial" w:eastAsia="Arial" w:hAnsi="Arial"/>
          <w:b w:val="false"/>
          <w:bCs w:val="false"/>
          <w:i w:val="false"/>
          <w:iCs w:val="false"/>
          <w:color w:val="111111"/>
          <w:sz w:val="22"/>
          <w:szCs w:val="22"/>
        </w:rPr>
        <w:t xml:space="preserve">The WHMIS Spectrum maps internal emotional states to external WHMIS safety standards, creating unified psycho-educational tracking. The same denominator operates at both scales — the colour that signals danger in the physical world signals the equivalent terrain in the inner world.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40"/>
        <w:gridCol w:w="2040"/>
        <w:gridCol w:w="1680"/>
        <w:gridCol w:w="2700"/>
      </w:tblGrid>
      <w:tr>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Colour</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Outer — practical restoration</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Inner — emotional state</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Associated virtues</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D.O.S.E. activation</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WHITE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Basic sorting and stewardship</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Clarity, beginning, openness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Humility, order, discernment</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Serotonin — baseline regulation</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BLUE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Waterway restoration</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Flow, depth, reflection</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Care, adaptability, persistence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Oxytocin — connection and depth</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GREEN</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Land and soil restoration</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Growth, nurturing, healing</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Patience, stewardship, hope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Serotonin — sustained calm growth</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YELLOW</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Emergency and animal care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Warmth, awareness, caution</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Courage, compassion, readiness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Endorphins — action and recovery</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BLACK</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Hazardous materials handling</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Gravity, transformation, profundity</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Resilience, courage, gravitas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Full D.O.S.E. — all four activated</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GOLD</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Ecosystem and legacy leadership</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Wisdom, mastery, illumination</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Integrity, sovereignty, joy</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Dopamine — creation and legacy</w:t>
            </w:r>
          </w:p>
        </w:tc>
      </w:tr>
    </w:tbl>
    <w:p>
      <w:pPr>
        <w:pBdr>
          <w:top w:val="single" w:color="B8860B" w:sz="2" w:space="1"/>
          <w:bottom w:val="single" w:color="B8860B" w:sz="2" w:space="1"/>
          <w:left w:val="single" w:color="B8860B" w:sz="18" w:space="6"/>
        </w:pBdr>
        <w:spacing w:before="120" w:after="120"/>
      </w:pPr>
      <w:r>
        <w:rPr>
          <w:rFonts w:ascii="Arial" w:cs="Arial" w:eastAsia="Arial" w:hAnsi="Arial"/>
          <w:i/>
          <w:iCs/>
          <w:color w:val="333333"/>
          <w:sz w:val="22"/>
          <w:szCs w:val="22"/>
        </w:rPr>
        <w:t xml:space="preserve">  The same denominator insight: The planet needs restoration from WHITE through GOLD. The human needs restoration from WHITE through GOLD. The work is the same work.</w:t>
      </w:r>
    </w:p>
    <w:p>
      <w:pPr>
        <w:pStyle w:val="Heading1"/>
        <w:pageBreakBefore/>
        <w:pBdr>
          <w:bottom w:val="single" w:color="B8860B" w:sz="4" w:space="1"/>
        </w:pBdr>
        <w:spacing w:before="360" w:after="140"/>
      </w:pPr>
      <w:r>
        <w:rPr>
          <w:rFonts w:ascii="Arial" w:cs="Arial" w:eastAsia="Arial" w:hAnsi="Arial"/>
          <w:b/>
          <w:bCs/>
          <w:color w:val="1F4E79"/>
          <w:sz w:val="30"/>
          <w:szCs w:val="30"/>
        </w:rPr>
        <w:t xml:space="preserve">Part 5 — School integration protocol</w:t>
      </w:r>
    </w:p>
    <w:p>
      <w:pPr>
        <w:pStyle w:val="Heading2"/>
        <w:spacing w:before="240" w:after="100"/>
      </w:pPr>
      <w:r>
        <w:rPr>
          <w:rFonts w:ascii="Arial" w:cs="Arial" w:eastAsia="Arial" w:hAnsi="Arial"/>
          <w:b/>
          <w:bCs/>
          <w:color w:val="0f3460"/>
          <w:sz w:val="24"/>
          <w:szCs w:val="24"/>
        </w:rPr>
        <w:t xml:space="preserve">Daily CEP micro-hooks</w:t>
      </w:r>
    </w:p>
    <w:p>
      <w:pPr>
        <w:spacing w:before="0" w:after="140"/>
      </w:pPr>
      <w:r>
        <w:rPr>
          <w:rFonts w:ascii="Arial" w:cs="Arial" w:eastAsia="Arial" w:hAnsi="Arial"/>
          <w:b w:val="false"/>
          <w:bCs w:val="false"/>
          <w:i w:val="false"/>
          <w:iCs w:val="false"/>
          <w:color w:val="111111"/>
          <w:sz w:val="22"/>
          <w:szCs w:val="22"/>
        </w:rPr>
        <w:t xml:space="preserve">Each school day begins, centres, and ends with brief CEP practices. Three minutes total. No special equipment. No literacy required. Safe for all ages, all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200"/>
        <w:gridCol w:w="3960"/>
      </w:tblGrid>
      <w:tr>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Time</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Activity</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Duration</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Purpose</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Morning</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Chem check — noticing body signals (serotonin/oxytocin cues)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60 seconds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Builds interoceptive awareness. Baseline neurochemical orientation for the day.</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Midday</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Co-regulation pair — one paced breath or gratitude exchange with a partner</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60–120 seconds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Practices nervous system co-regulation with peers. Oxytocin activation. Social connection.</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Close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Today's fish — one thought noticed and released (Fish Bowl Method language)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60 seconds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Develops observer consciousness. The gap between stimulus and response. Dopamine through release.</w:t>
            </w:r>
          </w:p>
        </w:tc>
      </w:tr>
    </w:tbl>
    <w:p>
      <w:pPr>
        <w:pStyle w:val="Heading2"/>
        <w:spacing w:before="240" w:after="100"/>
      </w:pPr>
      <w:r>
        <w:rPr>
          <w:rFonts w:ascii="Arial" w:cs="Arial" w:eastAsia="Arial" w:hAnsi="Arial"/>
          <w:b/>
          <w:bCs/>
          <w:color w:val="0f3460"/>
          <w:sz w:val="24"/>
          <w:szCs w:val="24"/>
        </w:rPr>
        <w:t xml:space="preserve">Safety protocols — universal and non-negotiable</w:t>
      </w:r>
    </w:p>
    <w:p>
      <w:pPr>
        <w:pStyle w:val="ListParagraph"/>
        <w:numPr>
          <w:ilvl w:val="0"/>
          <w:numId w:val="2"/>
        </w:numPr>
        <w:spacing w:after="80"/>
      </w:pPr>
      <w:r>
        <w:rPr>
          <w:rFonts w:ascii="Arial" w:cs="Arial" w:eastAsia="Arial" w:hAnsi="Arial"/>
          <w:sz w:val="22"/>
          <w:szCs w:val="22"/>
        </w:rPr>
        <w:t xml:space="preserve">Challenge-by-choice — full participation always optional. No student ever required to share.</w:t>
      </w:r>
    </w:p>
    <w:p>
      <w:pPr>
        <w:pStyle w:val="ListParagraph"/>
        <w:numPr>
          <w:ilvl w:val="0"/>
          <w:numId w:val="2"/>
        </w:numPr>
        <w:spacing w:after="80"/>
      </w:pPr>
      <w:r>
        <w:rPr>
          <w:rFonts w:ascii="Arial" w:cs="Arial" w:eastAsia="Arial" w:hAnsi="Arial"/>
          <w:sz w:val="22"/>
          <w:szCs w:val="22"/>
        </w:rPr>
        <w:t xml:space="preserve">Right-to-pass without inquiry — no explanation required. No weight, no judgment.</w:t>
      </w:r>
    </w:p>
    <w:p>
      <w:pPr>
        <w:pStyle w:val="ListParagraph"/>
        <w:numPr>
          <w:ilvl w:val="0"/>
          <w:numId w:val="2"/>
        </w:numPr>
        <w:spacing w:after="80"/>
      </w:pPr>
      <w:r>
        <w:rPr>
          <w:rFonts w:ascii="Arial" w:cs="Arial" w:eastAsia="Arial" w:hAnsi="Arial"/>
          <w:sz w:val="22"/>
          <w:szCs w:val="22"/>
        </w:rPr>
        <w:t xml:space="preserve">Safety Word — any participant can call it; all activity pauses immediately, no questions asked.</w:t>
      </w:r>
    </w:p>
    <w:p>
      <w:pPr>
        <w:pStyle w:val="ListParagraph"/>
        <w:numPr>
          <w:ilvl w:val="0"/>
          <w:numId w:val="2"/>
        </w:numPr>
        <w:spacing w:after="80"/>
      </w:pPr>
      <w:r>
        <w:rPr>
          <w:rFonts w:ascii="Arial" w:cs="Arial" w:eastAsia="Arial" w:hAnsi="Arial"/>
          <w:sz w:val="22"/>
          <w:szCs w:val="22"/>
        </w:rPr>
        <w:t xml:space="preserve">Facilitator protocol — facilitators complete full Lighthouse Resilience Programme before school delivery.</w:t>
      </w:r>
    </w:p>
    <w:p>
      <w:pPr>
        <w:pStyle w:val="Heading2"/>
        <w:spacing w:before="240" w:after="100"/>
      </w:pPr>
      <w:r>
        <w:rPr>
          <w:rFonts w:ascii="Arial" w:cs="Arial" w:eastAsia="Arial" w:hAnsi="Arial"/>
          <w:b/>
          <w:bCs/>
          <w:color w:val="0f3460"/>
          <w:sz w:val="24"/>
          <w:szCs w:val="24"/>
        </w:rPr>
        <w:t xml:space="preserve">The Mother-Elder Protocol</w:t>
      </w:r>
    </w:p>
    <w:p>
      <w:pPr>
        <w:spacing w:before="0" w:after="140"/>
      </w:pPr>
      <w:r>
        <w:rPr>
          <w:rFonts w:ascii="Arial" w:cs="Arial" w:eastAsia="Arial" w:hAnsi="Arial"/>
          <w:b w:val="false"/>
          <w:bCs w:val="false"/>
          <w:i w:val="false"/>
          <w:iCs w:val="false"/>
          <w:color w:val="111111"/>
          <w:sz w:val="22"/>
          <w:szCs w:val="22"/>
        </w:rPr>
        <w:t xml:space="preserve">Retired professionals serve as paid Elder Teachers, matched to students based on flourishing data from the AI Halo IRF. This is not volunteering. It is a paid, honoured institutional role — supplemental income for retirees who have lived the knowledge the students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Level</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Elder type</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Teaching methods</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WHITE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Depression-era survivors, resourcefulness veterans, immigrants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Hands-on sorting, storytelling, 'waste not' lessons. Experience of scarcity as teacher.</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BLUE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Retired fishermen, sailors, coast guard, marine workers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On-the-water mentorship, weather reading, safety protocols. The river as classroom.</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GREEN</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Retired farmers, gardeners, foresters, horticulturists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Field-based education, hands-in-soil learning, seasonal wisdom. Time as teacher.</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YELLOW</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Retired first responders, paramedics, animal rescue veterans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Scenario training, calm-under-pressure drills, compassion practice. Crisis as teacher.</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BLACK</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Industrial safety officers, hazmat veterans, factory veterans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Safety-first transmission, caution-embedding stories, equipment mastery. Danger as teacher.</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GOLD</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Master craftspeople, project managers, environmental scientists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Apprenticeship model, long-term thinking, legacy mentorship. The horizon as teacher.</w:t>
            </w:r>
          </w:p>
        </w:tc>
      </w:tr>
    </w:tbl>
    <w:p>
      <w:pPr>
        <w:pStyle w:val="Heading2"/>
        <w:spacing w:before="240" w:after="100"/>
      </w:pPr>
      <w:r>
        <w:rPr>
          <w:rFonts w:ascii="Arial" w:cs="Arial" w:eastAsia="Arial" w:hAnsi="Arial"/>
          <w:b/>
          <w:bCs/>
          <w:color w:val="0f3460"/>
          <w:sz w:val="24"/>
          <w:szCs w:val="24"/>
        </w:rPr>
        <w:t xml:space="preserve">Multi-age learning architecture</w:t>
      </w:r>
    </w:p>
    <w:p>
      <w:pPr>
        <w:spacing w:before="0" w:after="140"/>
      </w:pPr>
      <w:r>
        <w:rPr>
          <w:rFonts w:ascii="Arial" w:cs="Arial" w:eastAsia="Arial" w:hAnsi="Arial"/>
          <w:b w:val="false"/>
          <w:bCs w:val="false"/>
          <w:i w:val="false"/>
          <w:iCs w:val="false"/>
          <w:color w:val="111111"/>
          <w:sz w:val="22"/>
          <w:szCs w:val="22"/>
        </w:rPr>
        <w:t xml:space="preserve">Age becomes irrelevant in the GSRT model. Skill level, curiosity, and colour progression determine learning relationships — not birth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Traditional model</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GSRT sovereign model</w:t>
            </w:r>
          </w:p>
        </w:tc>
      </w:tr>
      <w:tr>
        <w:tc>
          <w:tcPr>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Arial" w:cs="Arial" w:eastAsia="Arial" w:hAnsi="Arial"/>
                <w:b w:val="false"/>
                <w:bCs w:val="false"/>
                <w:color w:val="8B0000"/>
                <w:sz w:val="19"/>
                <w:szCs w:val="19"/>
              </w:rPr>
              <w:t xml:space="preserve">Age-segregated classrooms</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val="false"/>
                <w:bCs w:val="false"/>
                <w:color w:val="1a6b2a"/>
                <w:sz w:val="19"/>
                <w:szCs w:val="19"/>
              </w:rPr>
              <w:t xml:space="preserve">Multi-age learning pods — colour level determines cohort</w:t>
            </w:r>
          </w:p>
        </w:tc>
      </w:tr>
      <w:tr>
        <w:tc>
          <w:tcPr>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Arial" w:cs="Arial" w:eastAsia="Arial" w:hAnsi="Arial"/>
                <w:b w:val="false"/>
                <w:bCs w:val="false"/>
                <w:color w:val="8B0000"/>
                <w:sz w:val="19"/>
                <w:szCs w:val="19"/>
              </w:rPr>
              <w:t xml:space="preserve">Teacher-dependent instruction</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val="false"/>
                <w:bCs w:val="false"/>
                <w:color w:val="1a6b2a"/>
                <w:sz w:val="19"/>
                <w:szCs w:val="19"/>
              </w:rPr>
              <w:t xml:space="preserve">Elder-guided exploration — knowledge flows from lived experience</w:t>
            </w:r>
          </w:p>
        </w:tc>
      </w:tr>
      <w:tr>
        <w:tc>
          <w:tcPr>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Arial" w:cs="Arial" w:eastAsia="Arial" w:hAnsi="Arial"/>
                <w:b w:val="false"/>
                <w:bCs w:val="false"/>
                <w:color w:val="8B0000"/>
                <w:sz w:val="19"/>
                <w:szCs w:val="19"/>
              </w:rPr>
              <w:t xml:space="preserve">Standardized curriculum</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val="false"/>
                <w:bCs w:val="false"/>
                <w:color w:val="1a6b2a"/>
                <w:sz w:val="19"/>
                <w:szCs w:val="19"/>
              </w:rPr>
              <w:t xml:space="preserve">Interest-based pathways — curiosity is the curriculum</w:t>
            </w:r>
          </w:p>
        </w:tc>
      </w:tr>
      <w:tr>
        <w:tc>
          <w:tcPr>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Arial" w:cs="Arial" w:eastAsia="Arial" w:hAnsi="Arial"/>
                <w:b w:val="false"/>
                <w:bCs w:val="false"/>
                <w:color w:val="8B0000"/>
                <w:sz w:val="19"/>
                <w:szCs w:val="19"/>
              </w:rPr>
              <w:t xml:space="preserve">Test-based assessment</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val="false"/>
                <w:bCs w:val="false"/>
                <w:color w:val="1a6b2a"/>
                <w:sz w:val="19"/>
                <w:szCs w:val="19"/>
              </w:rPr>
              <w:t xml:space="preserve">Mastery demonstration — do you know it, can you teach it?</w:t>
            </w:r>
          </w:p>
        </w:tc>
      </w:tr>
      <w:tr>
        <w:tc>
          <w:tcPr>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Arial" w:cs="Arial" w:eastAsia="Arial" w:hAnsi="Arial"/>
                <w:b w:val="false"/>
                <w:bCs w:val="false"/>
                <w:color w:val="8B0000"/>
                <w:sz w:val="19"/>
                <w:szCs w:val="19"/>
              </w:rPr>
              <w:t xml:space="preserve">Competition for grades</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val="false"/>
                <w:bCs w:val="false"/>
                <w:color w:val="1a6b2a"/>
                <w:sz w:val="19"/>
                <w:szCs w:val="19"/>
              </w:rPr>
              <w:t xml:space="preserve">Collaborative progression — a 10-year-old and a 16-year-old both learning is both winning</w:t>
            </w:r>
          </w:p>
        </w:tc>
      </w:tr>
      <w:tr>
        <w:tc>
          <w:tcPr>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Arial" w:cs="Arial" w:eastAsia="Arial" w:hAnsi="Arial"/>
                <w:b w:val="false"/>
                <w:bCs w:val="false"/>
                <w:color w:val="8B0000"/>
                <w:sz w:val="19"/>
                <w:szCs w:val="19"/>
              </w:rPr>
              <w:t xml:space="preserve">Retirement as ending</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val="false"/>
                <w:bCs w:val="false"/>
                <w:color w:val="1a6b2a"/>
                <w:sz w:val="19"/>
                <w:szCs w:val="19"/>
              </w:rPr>
              <w:t xml:space="preserve">Mother-Elder as beginning — the most experienced person is the most valued teacher</w:t>
            </w:r>
          </w:p>
        </w:tc>
      </w:tr>
    </w:tbl>
    <w:p>
      <w:pPr>
        <w:pBdr>
          <w:top w:val="single" w:color="B8860B" w:sz="2" w:space="1"/>
          <w:bottom w:val="single" w:color="B8860B" w:sz="2" w:space="1"/>
          <w:left w:val="single" w:color="B8860B" w:sz="18" w:space="6"/>
        </w:pBdr>
        <w:spacing w:before="120" w:after="120"/>
      </w:pPr>
      <w:r>
        <w:rPr>
          <w:rFonts w:ascii="Arial" w:cs="Arial" w:eastAsia="Arial" w:hAnsi="Arial"/>
          <w:i/>
          <w:iCs/>
          <w:color w:val="333333"/>
          <w:sz w:val="22"/>
          <w:szCs w:val="22"/>
        </w:rPr>
        <w:t xml:space="preserve">  The natural hierarchy: A 10-year-old beginner learns alongside a 16-year-old master. The 16-year-old teaches the 10-year-old what they learned last year. The Elder provides depth. The youth provides energy. Everyone learns. No one is left behind because no one is competing.</w:t>
      </w:r>
    </w:p>
    <w:p>
      <w:pPr>
        <w:pStyle w:val="Heading1"/>
        <w:pageBreakBefore/>
        <w:pBdr>
          <w:bottom w:val="single" w:color="B8860B" w:sz="4" w:space="1"/>
        </w:pBdr>
        <w:spacing w:before="360" w:after="140"/>
      </w:pPr>
      <w:r>
        <w:rPr>
          <w:rFonts w:ascii="Arial" w:cs="Arial" w:eastAsia="Arial" w:hAnsi="Arial"/>
          <w:b/>
          <w:bCs/>
          <w:color w:val="1F4E79"/>
          <w:sz w:val="30"/>
          <w:szCs w:val="30"/>
        </w:rPr>
        <w:t xml:space="preserve">Part 6 — The Dream-to-Skill Pipeline</w:t>
      </w:r>
    </w:p>
    <w:p>
      <w:pPr>
        <w:spacing w:before="0" w:after="140"/>
      </w:pPr>
      <w:r>
        <w:rPr>
          <w:rFonts w:ascii="Arial" w:cs="Arial" w:eastAsia="Arial" w:hAnsi="Arial"/>
          <w:b w:val="false"/>
          <w:bCs w:val="false"/>
          <w:i w:val="false"/>
          <w:iCs w:val="false"/>
          <w:color w:val="111111"/>
          <w:sz w:val="22"/>
          <w:szCs w:val="22"/>
        </w:rPr>
        <w:t xml:space="preserve">Students input their dreams into the GTT/CEP system — whether collecting space junk under the Black Yellow Label, caring for tigers at the YELLOW tier, restoring rivers at BLUE, designing elder communities at GOLD, or anything else. The AI Halo IRF does not judge the dream. It builds the pipeline.</w:t>
      </w:r>
    </w:p>
    <w:p>
      <w:pPr>
        <w:pStyle w:val="Heading2"/>
        <w:spacing w:before="240" w:after="100"/>
      </w:pPr>
      <w:r>
        <w:rPr>
          <w:rFonts w:ascii="Arial" w:cs="Arial" w:eastAsia="Arial" w:hAnsi="Arial"/>
          <w:b/>
          <w:bCs/>
          <w:color w:val="0f3460"/>
          <w:sz w:val="24"/>
          <w:szCs w:val="24"/>
        </w:rPr>
        <w:t xml:space="preserve">Pipeline sequence</w:t>
      </w:r>
    </w:p>
    <w:p>
      <w:pPr>
        <w:pStyle w:val="ListParagraph"/>
        <w:numPr>
          <w:ilvl w:val="0"/>
          <w:numId w:val="3"/>
        </w:numPr>
        <w:spacing w:after="80"/>
      </w:pPr>
      <w:r>
        <w:rPr>
          <w:rFonts w:ascii="Arial" w:cs="Arial" w:eastAsia="Arial" w:hAnsi="Arial"/>
          <w:sz w:val="22"/>
          <w:szCs w:val="22"/>
        </w:rPr>
        <w:t xml:space="preserve">Student inputs dream (verbal, written, drawn, gestured — no literacy barrier)</w:t>
      </w:r>
    </w:p>
    <w:p>
      <w:pPr>
        <w:pStyle w:val="ListParagraph"/>
        <w:numPr>
          <w:ilvl w:val="0"/>
          <w:numId w:val="3"/>
        </w:numPr>
        <w:spacing w:after="80"/>
      </w:pPr>
      <w:r>
        <w:rPr>
          <w:rFonts w:ascii="Arial" w:cs="Arial" w:eastAsia="Arial" w:hAnsi="Arial"/>
          <w:sz w:val="22"/>
          <w:szCs w:val="22"/>
        </w:rPr>
        <w:t xml:space="preserve">AI Halo IRF analyzes required competencies for that dream — what colour level, what WHMIS certification, what Elder pairing</w:t>
      </w:r>
    </w:p>
    <w:p>
      <w:pPr>
        <w:pStyle w:val="ListParagraph"/>
        <w:numPr>
          <w:ilvl w:val="0"/>
          <w:numId w:val="3"/>
        </w:numPr>
        <w:spacing w:after="80"/>
      </w:pPr>
      <w:r>
        <w:rPr>
          <w:rFonts w:ascii="Arial" w:cs="Arial" w:eastAsia="Arial" w:hAnsi="Arial"/>
          <w:sz w:val="22"/>
          <w:szCs w:val="22"/>
        </w:rPr>
        <w:t xml:space="preserve">Mildred (The Selector) builds an educational and experiential pipeline — courses, certifications, mentors, practical experiences, and choices at every junction</w:t>
      </w:r>
    </w:p>
    <w:p>
      <w:pPr>
        <w:pStyle w:val="ListParagraph"/>
        <w:numPr>
          <w:ilvl w:val="0"/>
          <w:numId w:val="3"/>
        </w:numPr>
        <w:spacing w:after="80"/>
      </w:pPr>
      <w:r>
        <w:rPr>
          <w:rFonts w:ascii="Arial" w:cs="Arial" w:eastAsia="Arial" w:hAnsi="Arial"/>
          <w:sz w:val="22"/>
          <w:szCs w:val="22"/>
        </w:rPr>
        <w:t xml:space="preserve">IRF guides the participant through each step, reading trajectory before consequences land, offering alternatives when the chosen path narrows</w:t>
      </w:r>
    </w:p>
    <w:p>
      <w:pPr>
        <w:pStyle w:val="ListParagraph"/>
        <w:numPr>
          <w:ilvl w:val="0"/>
          <w:numId w:val="3"/>
        </w:numPr>
        <w:spacing w:after="80"/>
      </w:pPr>
      <w:r>
        <w:rPr>
          <w:rFonts w:ascii="Arial" w:cs="Arial" w:eastAsia="Arial" w:hAnsi="Arial"/>
          <w:sz w:val="22"/>
          <w:szCs w:val="22"/>
        </w:rPr>
        <w:t xml:space="preserve">Prodigal Son Protocol pauses neutrally if the participant chooses to skip a task — no penalty, no record, no weight</w:t>
      </w:r>
    </w:p>
    <w:p>
      <w:pPr>
        <w:pStyle w:val="ListParagraph"/>
        <w:numPr>
          <w:ilvl w:val="0"/>
          <w:numId w:val="3"/>
        </w:numPr>
        <w:spacing w:after="140"/>
      </w:pPr>
      <w:r>
        <w:rPr>
          <w:rFonts w:ascii="Arial" w:cs="Arial" w:eastAsia="Arial" w:hAnsi="Arial"/>
          <w:sz w:val="22"/>
          <w:szCs w:val="22"/>
        </w:rPr>
        <w:t xml:space="preserve">Pipeline resumes when the participant is ready — the door is always open</w:t>
      </w:r>
    </w:p>
    <w:p>
      <w:pPr>
        <w:pStyle w:val="Heading2"/>
        <w:spacing w:before="240" w:after="100"/>
      </w:pPr>
      <w:r>
        <w:rPr>
          <w:rFonts w:ascii="Arial" w:cs="Arial" w:eastAsia="Arial" w:hAnsi="Arial"/>
          <w:b/>
          <w:bCs/>
          <w:color w:val="0f3460"/>
          <w:sz w:val="24"/>
          <w:szCs w:val="24"/>
        </w:rPr>
        <w:t xml:space="preserve">The Prodigal Son Protocol — in school context</w:t>
      </w:r>
    </w:p>
    <w:p>
      <w:pPr>
        <w:spacing w:before="0" w:after="140"/>
      </w:pPr>
      <w:r>
        <w:rPr>
          <w:rFonts w:ascii="Arial" w:cs="Arial" w:eastAsia="Arial" w:hAnsi="Arial"/>
          <w:b w:val="false"/>
          <w:bCs w:val="false"/>
          <w:i w:val="false"/>
          <w:iCs w:val="false"/>
          <w:color w:val="111111"/>
          <w:sz w:val="22"/>
          <w:szCs w:val="22"/>
        </w:rPr>
        <w:t xml:space="preserve">When a task, module, or experience is offered, the student may:</w:t>
      </w:r>
    </w:p>
    <w:p>
      <w:pPr>
        <w:pStyle w:val="ListParagraph"/>
        <w:numPr>
          <w:ilvl w:val="0"/>
          <w:numId w:val="2"/>
        </w:numPr>
        <w:spacing w:after="80"/>
      </w:pPr>
      <w:r>
        <w:rPr>
          <w:rFonts w:ascii="Arial" w:cs="Arial" w:eastAsia="Arial" w:hAnsi="Arial"/>
          <w:sz w:val="22"/>
          <w:szCs w:val="22"/>
        </w:rPr>
        <w:t xml:space="preserve">Accept — proceed with full palette alignment and Elder pairing</w:t>
      </w:r>
    </w:p>
    <w:p>
      <w:pPr>
        <w:pStyle w:val="ListParagraph"/>
        <w:numPr>
          <w:ilvl w:val="0"/>
          <w:numId w:val="2"/>
        </w:numPr>
        <w:spacing w:after="80"/>
      </w:pPr>
      <w:r>
        <w:rPr>
          <w:rFonts w:ascii="Arial" w:cs="Arial" w:eastAsia="Arial" w:hAnsi="Arial"/>
          <w:sz w:val="22"/>
          <w:szCs w:val="22"/>
        </w:rPr>
        <w:t xml:space="preserve">Decline (Prodigal Son) — task skipped neutrally. No weight. No judgment. No record. The system remembers the door but does not close it.</w:t>
      </w:r>
    </w:p>
    <w:p>
      <w:pPr>
        <w:pStyle w:val="ListParagraph"/>
        <w:numPr>
          <w:ilvl w:val="0"/>
          <w:numId w:val="2"/>
        </w:numPr>
        <w:spacing w:after="80"/>
      </w:pPr>
      <w:r>
        <w:rPr>
          <w:rFonts w:ascii="Arial" w:cs="Arial" w:eastAsia="Arial" w:hAnsi="Arial"/>
          <w:sz w:val="22"/>
          <w:szCs w:val="22"/>
        </w:rPr>
        <w:t xml:space="preserve">Wait — system offers alternatives or simply holds the space open</w:t>
      </w:r>
    </w:p>
    <w:p>
      <w:pPr>
        <w:pBdr>
          <w:top w:val="single" w:color="B8860B" w:sz="2" w:space="1"/>
          <w:bottom w:val="single" w:color="B8860B" w:sz="2" w:space="1"/>
          <w:left w:val="single" w:color="B8860B" w:sz="18" w:space="6"/>
        </w:pBdr>
        <w:spacing w:before="120" w:after="120"/>
      </w:pPr>
      <w:r>
        <w:rPr>
          <w:rFonts w:ascii="Arial" w:cs="Arial" w:eastAsia="Arial" w:hAnsi="Arial"/>
          <w:i/>
          <w:iCs/>
          <w:color w:val="333333"/>
          <w:sz w:val="22"/>
          <w:szCs w:val="22"/>
        </w:rPr>
        <w:t xml:space="preserve">  The student's 'no' is as valid as their 'yes.' Both are expressions of their palette in that moment. The IRF does not push. It watches and opens the door when the student is ready.</w:t>
      </w:r>
    </w:p>
    <w:p>
      <w:pPr>
        <w:pStyle w:val="Heading2"/>
        <w:spacing w:before="240" w:after="100"/>
      </w:pPr>
      <w:r>
        <w:rPr>
          <w:rFonts w:ascii="Arial" w:cs="Arial" w:eastAsia="Arial" w:hAnsi="Arial"/>
          <w:b/>
          <w:bCs/>
          <w:color w:val="0f3460"/>
          <w:sz w:val="24"/>
          <w:szCs w:val="24"/>
        </w:rPr>
        <w:t xml:space="preserve">Dream-to-skill examples by civilizational 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40"/>
        <w:gridCol w:w="1800"/>
        <w:gridCol w:w="2040"/>
        <w:gridCol w:w="3480"/>
      </w:tblGrid>
      <w:tr>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Student dream</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Entry colour</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Credential pathway</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Civilizational stream</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Clean up the ocean</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BLUE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Water quality WHMIS → marine remediation → orbital debris (Black Yellow Label)</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Space Exploration River</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Save wild animals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YELLOW</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Animal care → emergency response → wildlife corridor restoration</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Animal Replenishment River</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Feed people who are hungry</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WHITE–GREEN</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Soil restoration → food forest → community nutrition</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Welfare River</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Help people who are hurting</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GREEN–GOLD</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Lighthouse facilitator → CEP trainer → Mother-Elder</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Charity &amp; Reconciliation River</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Go to space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BLACK–GOLD (Black Yellow Label)</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Hazmat mastery → orbital restoration → frontier stewardship</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Space Exploration River</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Build something that lasts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GOLD</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Systems design → legacy architecture → intergenerational project</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All four rivers</w:t>
            </w:r>
          </w:p>
        </w:tc>
      </w:tr>
    </w:tbl>
    <w:p>
      <w:pPr>
        <w:pStyle w:val="Heading1"/>
        <w:pageBreakBefore/>
        <w:pBdr>
          <w:bottom w:val="single" w:color="B8860B" w:sz="4" w:space="1"/>
        </w:pBdr>
        <w:spacing w:before="360" w:after="140"/>
      </w:pPr>
      <w:r>
        <w:rPr>
          <w:rFonts w:ascii="Arial" w:cs="Arial" w:eastAsia="Arial" w:hAnsi="Arial"/>
          <w:b/>
          <w:bCs/>
          <w:color w:val="1F4E79"/>
          <w:sz w:val="30"/>
          <w:szCs w:val="30"/>
        </w:rPr>
        <w:t xml:space="preserve">Part 7 — Implementation timeline — 6-week school installation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3240"/>
        <w:gridCol w:w="5040"/>
      </w:tblGrid>
      <w:tr>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Week</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Focus</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Deliverables</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1</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CEP briefing, Safety Word setup, Mother-Elder pairing</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Trained facilitators; safety protocols active; Elder roster confirmed and compensated</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2</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Hue-Shade-Tint primer; begin daily CEP three micro-hooks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Participant palettes initialized; AI Halo IRF baseline W scores recorded</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3</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Buddy Debriefs; Lighthouse check-ins begin</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Peer support structure active; first Prodigal Son Protocol uses documented</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4</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Dream-to-Skill Pipeline dry run; verify/pay emulator test</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Pipeline system tested; first credential pathways mapped for each student</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5</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Micro-enterprise registration; Dream-to-Skill pathways refined</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Pathways confirmed; Elder pairings active; first restoration micro-tasks assigned</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6</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Synthesis: what worked and what changed</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Implementation report; W delta measurements; KPI dashboard baseline established; full programme evaluation</w:t>
            </w:r>
          </w:p>
        </w:tc>
      </w:tr>
    </w:tbl>
    <w:p>
      <w:pPr>
        <w:pStyle w:val="Heading1"/>
        <w:pageBreakBefore/>
        <w:pBdr>
          <w:bottom w:val="single" w:color="B8860B" w:sz="4" w:space="1"/>
        </w:pBdr>
        <w:spacing w:before="360" w:after="140"/>
      </w:pPr>
      <w:r>
        <w:rPr>
          <w:rFonts w:ascii="Arial" w:cs="Arial" w:eastAsia="Arial" w:hAnsi="Arial"/>
          <w:b/>
          <w:bCs/>
          <w:color w:val="1F4E79"/>
          <w:sz w:val="30"/>
          <w:szCs w:val="30"/>
        </w:rPr>
        <w:t xml:space="preserve">Part 8 — Measurement and validation</w:t>
      </w:r>
    </w:p>
    <w:p>
      <w:pPr>
        <w:pStyle w:val="Heading2"/>
        <w:spacing w:before="240" w:after="100"/>
      </w:pPr>
      <w:r>
        <w:rPr>
          <w:rFonts w:ascii="Arial" w:cs="Arial" w:eastAsia="Arial" w:hAnsi="Arial"/>
          <w:b/>
          <w:bCs/>
          <w:color w:val="0f3460"/>
          <w:sz w:val="24"/>
          <w:szCs w:val="24"/>
        </w:rPr>
        <w:t xml:space="preserve">Weekly KPI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680"/>
        <w:gridCol w:w="2880"/>
      </w:tblGrid>
      <w:tr>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Domain</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KPI</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Measurement method</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Environmental</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Tonnes diverted, water quality panels, restored acreage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MRV verification — verified by independent assessor</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Economic</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Income generated, micro-enterprises formed, credentials earned</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CCGBI verification centre records</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Skills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Colour level progression, WHMIS certifications achieved</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Elder assessment + WHMIS exam records</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Safety</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Incident reports, Safety Word invocations, protocol compliance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Facilitator log — daily</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Wellbeing</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W-Index delta (optional, aggregated, never individual)</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ProQOL + PSS aggregate — anonymous, consented</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Trust</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Community satisfaction surveys, Elder retention</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Monthly survey — community-designed questions</w:t>
            </w:r>
          </w:p>
        </w:tc>
      </w:tr>
    </w:tbl>
    <w:p>
      <w:pPr>
        <w:pStyle w:val="Heading2"/>
        <w:spacing w:before="240" w:after="100"/>
      </w:pPr>
      <w:r>
        <w:rPr>
          <w:rFonts w:ascii="Arial" w:cs="Arial" w:eastAsia="Arial" w:hAnsi="Arial"/>
          <w:b/>
          <w:bCs/>
          <w:color w:val="0f3460"/>
          <w:sz w:val="24"/>
          <w:szCs w:val="24"/>
        </w:rPr>
        <w:t xml:space="preserve">The Human Value Function in school context</w:t>
      </w:r>
    </w:p>
    <w:p>
      <w:pPr>
        <w:pBdr>
          <w:left w:val="single" w:color="1F4E79" w:sz="14" w:space="6"/>
        </w:pBdr>
        <w:spacing w:before="100" w:after="100"/>
      </w:pPr>
      <w:r>
        <w:rPr>
          <w:rFonts w:ascii="Courier New" w:cs="Courier New" w:eastAsia="Courier New" w:hAnsi="Courier New"/>
          <w:b/>
          <w:bCs/>
          <w:color w:val="1F4E79"/>
          <w:sz w:val="22"/>
          <w:szCs w:val="22"/>
        </w:rPr>
        <w:t xml:space="preserve">    W = (R + B + N + V + M + Gv + Fe + Fm) × Cs</w:t>
      </w:r>
    </w:p>
    <w:p>
      <w:pPr>
        <w:spacing w:before="0" w:after="140"/>
      </w:pPr>
      <w:r>
        <w:rPr>
          <w:rFonts w:ascii="Arial" w:cs="Arial" w:eastAsia="Arial" w:hAnsi="Arial"/>
          <w:b w:val="false"/>
          <w:bCs w:val="false"/>
          <w:i w:val="false"/>
          <w:iCs w:val="false"/>
          <w:color w:val="111111"/>
          <w:sz w:val="22"/>
          <w:szCs w:val="22"/>
        </w:rPr>
        <w:t xml:space="preserve">W is tracked for each student anonymously and aggregated at cohort level. Individual W scores are never disclosed without explicit student and guardian consent. The AI Halo IRF uses W trajectory — not W score — to calibrate Elder pairings and Dream-to-Skill pathway options through Mildred (The Selector).</w:t>
      </w:r>
    </w:p>
    <w:p>
      <w:pPr>
        <w:spacing w:before="0" w:after="140"/>
      </w:pPr>
      <w:r>
        <w:rPr>
          <w:rFonts w:ascii="Arial" w:cs="Arial" w:eastAsia="Arial" w:hAnsi="Arial"/>
          <w:b w:val="false"/>
          <w:bCs w:val="false"/>
          <w:i w:val="false"/>
          <w:iCs w:val="false"/>
          <w:color w:val="111111"/>
          <w:sz w:val="22"/>
          <w:szCs w:val="22"/>
        </w:rPr>
        <w:t xml:space="preserve">See Mathematics Manual Section 1 for full W variable definitions, worked examples, and partner workbench templates.</w:t>
      </w:r>
    </w:p>
    <w:p>
      <w:pPr>
        <w:pBdr>
          <w:top w:val="single" w:color="B8860B" w:sz="4" w:space="1"/>
        </w:pBdr>
        <w:spacing w:before="400" w:after="80"/>
        <w:jc w:val="center"/>
      </w:pPr>
      <w:r>
        <w:rPr>
          <w:rFonts w:ascii="Arial" w:cs="Arial" w:eastAsia="Arial" w:hAnsi="Arial"/>
          <w:b/>
          <w:bCs/>
          <w:color w:val="1F4E79"/>
          <w:sz w:val="22"/>
          <w:szCs w:val="22"/>
        </w:rPr>
        <w:t xml:space="preserve">Neil J. Schwab  ·  Framework Architect  ·  GSRT</w:t>
      </w:r>
    </w:p>
    <w:p>
      <w:pPr>
        <w:spacing w:after="60"/>
        <w:jc w:val="center"/>
      </w:pPr>
      <w:r>
        <w:rPr>
          <w:rFonts w:ascii="Arial" w:cs="Arial" w:eastAsia="Arial" w:hAnsi="Arial"/>
          <w:color w:val="555555"/>
          <w:sz w:val="20"/>
          <w:szCs w:val="20"/>
        </w:rPr>
        <w:t xml:space="preserve">neil.schwab@live.ca  ·  +1 (905) 868-6985  ·  Newmarket, Ontario, Canada  ·  February 2026</w:t>
      </w:r>
    </w:p>
    <w:p>
      <w:pPr>
        <w:spacing w:before="160"/>
        <w:jc w:val="center"/>
      </w:pPr>
      <w:r>
        <w:rPr>
          <w:rFonts w:ascii="Arial" w:cs="Arial" w:eastAsia="Arial" w:hAnsi="Arial"/>
          <w:b/>
          <w:bCs/>
          <w:color w:val="B8860B"/>
          <w:sz w:val="22"/>
          <w:szCs w:val="22"/>
        </w:rPr>
        <w:t xml:space="preserve">FORGIVE YESTERDAY  •  HEAL TODAY  •  FLOURISH TOMORROW  •  TOGETHER  •  PBTG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6" w:space="1"/>
      </w:pBdr>
      <w:jc w:val="center"/>
    </w:pPr>
    <w:r>
      <w:rPr>
        <w:rFonts w:ascii="Arial" w:cs="Arial" w:eastAsia="Arial" w:hAnsi="Arial"/>
        <w:color w:val="888888"/>
        <w:sz w:val="18"/>
        <w:szCs w:val="18"/>
      </w:rPr>
      <w:t xml:space="preserve">Forgive Yesterday  •  Heal Today  •  Flourish Tomorrow  •  Together  •  PBTG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1"/>
      </w:pBdr>
    </w:pPr>
    <w:r>
      <w:rPr>
        <w:rFonts w:ascii="Arial" w:cs="Arial" w:eastAsia="Arial" w:hAnsi="Arial"/>
        <w:color w:val="888888"/>
        <w:sz w:val="18"/>
        <w:szCs w:val="18"/>
      </w:rPr>
      <w:t xml:space="preserve">GSRT  |  School Integration Manual  |  Neil J. Schwab, Framework Architect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2026-03-02T01:56:00.125Z</dcterms:created>
  <dcterms:modified xsi:type="dcterms:W3CDTF">2026-03-02T01:56:00.125Z</dcterms:modified>
</cp:coreProperties>
</file>

<file path=docProps/custom.xml><?xml version="1.0" encoding="utf-8"?>
<Properties xmlns="http://schemas.openxmlformats.org/officeDocument/2006/custom-properties" xmlns:vt="http://schemas.openxmlformats.org/officeDocument/2006/docPropsVTypes"/>
</file>