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96"/>
          <w:szCs w:val="96"/>
        </w:rPr>
        <w:t xml:space="preserve">GSRT</w:t>
      </w:r>
    </w:p>
    <w:p>
      <w:pPr>
        <w:spacing w:after="80"/>
        <w:jc w:val="center"/>
      </w:pPr>
      <w:r>
        <w:rPr>
          <w:rFonts w:ascii="Arial" w:cs="Arial" w:eastAsia="Arial" w:hAnsi="Arial"/>
          <w:b/>
          <w:bCs/>
          <w:color w:val="0f3460"/>
          <w:sz w:val="32"/>
          <w:szCs w:val="32"/>
        </w:rPr>
        <w:t xml:space="preserve">Global Stewardship &amp; Reconciliation Trust</w:t>
      </w:r>
    </w:p>
    <w:p>
      <w:pPr>
        <w:spacing w:after="80"/>
        <w:jc w:val="center"/>
      </w:pPr>
      <w:r>
        <w:rPr>
          <w:rFonts w:ascii="Arial" w:cs="Arial" w:eastAsia="Arial" w:hAnsi="Arial"/>
          <w:b/>
          <w:bCs/>
          <w:color w:val="B8860B"/>
          <w:sz w:val="44"/>
          <w:szCs w:val="44"/>
        </w:rPr>
        <w:t xml:space="preserve">MONETARY WATERSHED MANUAL</w:t>
      </w:r>
    </w:p>
    <w:p>
      <w:pPr>
        <w:spacing w:after="80"/>
        <w:jc w:val="center"/>
      </w:pPr>
      <w:r>
        <w:rPr>
          <w:rFonts w:ascii="Arial" w:cs="Arial" w:eastAsia="Arial" w:hAnsi="Arial"/>
          <w:color w:val="555555"/>
          <w:sz w:val="24"/>
          <w:szCs w:val="24"/>
        </w:rPr>
        <w:t xml:space="preserve">The Godspring Watershed — Primary Waterfall + Dual Secondary Engines + Aquifer Cycle</w:t>
      </w:r>
    </w:p>
    <w:p>
      <w:pPr>
        <w:pBdr>
          <w:bottom w:val="single" w:color="CCCCCC" w:sz="2" w:space="1"/>
        </w:pBdr>
        <w:spacing w:after="200"/>
        <w:jc w:val="center"/>
      </w:pPr>
      <w:r>
        <w:rPr>
          <w:rFonts w:ascii="Arial" w:cs="Arial" w:eastAsia="Arial" w:hAnsi="Arial"/>
          <w:i/>
          <w:iCs/>
          <w:color w:val="666666"/>
          <w:sz w:val="22"/>
          <w:szCs w:val="22"/>
        </w:rPr>
        <w:t xml:space="preserve">COG 2 — The Heart  ·  The Financial Architecture of Sovereign Restoration</w:t>
      </w:r>
    </w:p>
    <w:p>
      <w:pPr>
        <w:spacing w:before="200" w:after="6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  ·  Newmarket, Ontario, Canada</w:t>
      </w:r>
    </w:p>
    <w:p>
      <w:pPr>
        <w:spacing w:after="60"/>
        <w:jc w:val="center"/>
      </w:pPr>
      <w:r>
        <w:rPr>
          <w:rFonts w:ascii="Arial" w:cs="Arial" w:eastAsia="Arial" w:hAnsi="Arial"/>
          <w:color w:val="888888"/>
          <w:sz w:val="20"/>
          <w:szCs w:val="20"/>
        </w:rPr>
        <w:t xml:space="preserve">February 2026</w:t>
      </w:r>
    </w:p>
    <w:p>
      <w:pPr>
        <w:spacing w:before="300"/>
        <w:jc w:val="center"/>
      </w:pPr>
      <w:r>
        <w:rPr>
          <w:rFonts w:ascii="Arial" w:cs="Arial" w:eastAsia="Arial" w:hAnsi="Arial"/>
          <w:b/>
          <w:bCs/>
          <w:color w:val="B8860B"/>
          <w:sz w:val="22"/>
          <w:szCs w:val="22"/>
        </w:rPr>
        <w:t xml:space="preserve">FORGIVE YESTERDAY  •  HEAL TODAY  •  FLOURISH TOMORROW  •  TOGETHER  •  PBTG</w:t>
      </w:r>
    </w:p>
    <w:p>
      <w:pPr>
        <w:pStyle w:val="Heading1"/>
        <w:pBdr>
          <w:bottom w:val="single" w:color="B8860B" w:sz="4" w:space="1"/>
        </w:pBdr>
        <w:spacing w:before="280" w:after="140"/>
      </w:pPr>
      <w:r>
        <w:rPr>
          <w:rFonts w:ascii="Arial" w:cs="Arial" w:eastAsia="Arial" w:hAnsi="Arial"/>
          <w:b/>
          <w:bCs/>
          <w:color w:val="1F4E79"/>
          <w:sz w:val="30"/>
          <w:szCs w:val="30"/>
        </w:rPr>
        <w:t xml:space="preserve">Corrections applied — v1 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Issue in v1</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Correction applied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Location</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"Global Restoration Stewardship Trust Initiative"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Replaced with GSRT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Cover, headers, footers, all body text</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Three Rivers only (Welfare, Charity, Space)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 Rivers — Animal Replenishment added as fourth civilizational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3 — Engine 2, all river tables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Secondary cascade split 40/60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Corrected to 50/50 — both engines equal</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3 — cascade architecture</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"Bionic Sidekick" / "Sextant"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AI Halo IRF throughout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"COG 2 — The Nervous System"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COG 2 — The Heart (Catholic Church)</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COG references</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Missing YELLOW tier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YELLOW added to all colour progressions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r>
              <w:rPr>
                <w:rFonts w:ascii="Arial" w:cs="Arial" w:eastAsia="Arial" w:hAnsi="Arial"/>
                <w:b w:val="false"/>
                <w:bCs w:val="false"/>
                <w:color w:val="8B0000"/>
                <w:sz w:val="20"/>
                <w:szCs w:val="20"/>
              </w:rPr>
              <w:t xml:space="preserve">Closing tag inconsistent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Forgive Yesterday • Heal Today • Flourish Tomorrow • Together • PBTG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pages</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1.  What this manual is</w:t>
      </w:r>
    </w:p>
    <w:p>
      <w:pPr>
        <w:spacing w:before="0" w:after="140"/>
      </w:pPr>
      <w:r>
        <w:rPr>
          <w:rFonts w:ascii="Arial" w:cs="Arial" w:eastAsia="Arial" w:hAnsi="Arial"/>
          <w:b w:val="false"/>
          <w:bCs w:val="false"/>
          <w:i w:val="false"/>
          <w:iCs w:val="false"/>
          <w:color w:val="111111"/>
          <w:sz w:val="22"/>
          <w:szCs w:val="22"/>
        </w:rPr>
        <w:t xml:space="preserve">This manual is the dedicated financial architecture document for COG 2 — The Heart. It explains exactly how restoration revenue flows through the GSRT system from first dollar earned to perpetual self-sustaining operation. It is designed to be read by financial analysts, government auditors, Treasury Board reviewers, and institutional partners who need to understand the money.</w:t>
      </w:r>
    </w:p>
    <w:p>
      <w:pPr>
        <w:spacing w:before="0" w:after="140"/>
      </w:pPr>
      <w:r>
        <w:rPr>
          <w:rFonts w:ascii="Arial" w:cs="Arial" w:eastAsia="Arial" w:hAnsi="Arial"/>
          <w:b w:val="false"/>
          <w:bCs w:val="false"/>
          <w:i w:val="false"/>
          <w:iCs w:val="false"/>
          <w:color w:val="111111"/>
          <w:sz w:val="22"/>
          <w:szCs w:val="22"/>
        </w:rPr>
        <w:t xml:space="preserve">The Watershed Manual does not stand alone. It is one of four operational manuals in the GSRT framework library:</w:t>
      </w:r>
    </w:p>
    <w:p>
      <w:pPr>
        <w:pStyle w:val="ListParagraph"/>
        <w:numPr>
          <w:ilvl w:val="0"/>
          <w:numId w:val="2"/>
        </w:numPr>
        <w:spacing w:after="80"/>
      </w:pPr>
      <w:r>
        <w:rPr>
          <w:rFonts w:ascii="Arial" w:cs="Arial" w:eastAsia="Arial" w:hAnsi="Arial"/>
          <w:sz w:val="22"/>
          <w:szCs w:val="22"/>
        </w:rPr>
        <w:t xml:space="preserve">CCGBI Manual — COG 1: The Muscle. The restoration work that generates the revenue.</w:t>
      </w:r>
    </w:p>
    <w:p>
      <w:pPr>
        <w:pStyle w:val="ListParagraph"/>
        <w:numPr>
          <w:ilvl w:val="0"/>
          <w:numId w:val="2"/>
        </w:numPr>
        <w:spacing w:after="80"/>
      </w:pPr>
      <w:r>
        <w:rPr>
          <w:rFonts w:ascii="Arial" w:cs="Arial" w:eastAsia="Arial" w:hAnsi="Arial"/>
          <w:sz w:val="22"/>
          <w:szCs w:val="22"/>
        </w:rPr>
        <w:t xml:space="preserve">GTT/CEP/AI Halo IRF Manual — COG 3: The AI Integration. The intelligence layer that guides workers and verifies outputs.</w:t>
      </w:r>
    </w:p>
    <w:p>
      <w:pPr>
        <w:pStyle w:val="ListParagraph"/>
        <w:numPr>
          <w:ilvl w:val="0"/>
          <w:numId w:val="2"/>
        </w:numPr>
        <w:spacing w:after="80"/>
      </w:pPr>
      <w:r>
        <w:rPr>
          <w:rFonts w:ascii="Arial" w:cs="Arial" w:eastAsia="Arial" w:hAnsi="Arial"/>
          <w:sz w:val="22"/>
          <w:szCs w:val="22"/>
        </w:rPr>
        <w:t xml:space="preserve">Monetary Watershed Manual — COG 2: The Heart. This document. The financial architecture.</w:t>
      </w:r>
    </w:p>
    <w:p>
      <w:pPr>
        <w:pStyle w:val="ListParagraph"/>
        <w:numPr>
          <w:ilvl w:val="0"/>
          <w:numId w:val="2"/>
        </w:numPr>
        <w:spacing w:after="80"/>
      </w:pPr>
      <w:r>
        <w:rPr>
          <w:rFonts w:ascii="Arial" w:cs="Arial" w:eastAsia="Arial" w:hAnsi="Arial"/>
          <w:sz w:val="22"/>
          <w:szCs w:val="22"/>
        </w:rPr>
        <w:t xml:space="preserve">Firmware Manual v3 — The Ancestor Layer. The values protocols and governance firewalls.</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physicists said perpetual motion was impossible because every mechanical system loses energy to friction. This system does not lose energy to friction — it gains energy from chaos. That is the difference between a machine and a watershed."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2.  The 20/40/20/10/10 Justice Floor</w:t>
      </w:r>
    </w:p>
    <w:p>
      <w:pPr>
        <w:spacing w:before="0" w:after="140"/>
      </w:pPr>
      <w:r>
        <w:rPr>
          <w:rFonts w:ascii="Arial" w:cs="Arial" w:eastAsia="Arial" w:hAnsi="Arial"/>
          <w:b w:val="false"/>
          <w:bCs w:val="false"/>
          <w:i w:val="false"/>
          <w:iCs w:val="false"/>
          <w:color w:val="111111"/>
          <w:sz w:val="22"/>
          <w:szCs w:val="22"/>
        </w:rPr>
        <w:t xml:space="preserve">Every dollar of restoration revenue — at every engine, at every level of the cascade — flows through the same legally binding distribution structure. This floor never moves. No partner can redirect it. No regulatory body can override it. The 40% participant floor is constitutionally hardcoded into the Nodal Sovereignty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Stream</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Percentage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Recipient</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1</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20%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Operations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maintenance, WHMIS compliance, verification centres, administration. The machine stays running.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2</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40%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Participants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worker income. Constitutional floor — never negotiated away, never redirected, never held pending audit.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3</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20%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Community &amp; Elders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Elder stipends, community infrastructure, schools, intergenerational trusts. Stays in the watershed.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4</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Progression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Feeds the Progression Engine below. Curriculum evolution, AI Halo IRF training, WHMIS development.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1F4E79"/>
                <w:sz w:val="20"/>
                <w:szCs w:val="20"/>
              </w:rPr>
              <w:t xml:space="preserve">Scaling Reserve Stream</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Feeds the Scaling Reserve Engine below. Mayhem response, new node seeding, global expansion.</w:t>
            </w:r>
          </w:p>
        </w:tc>
      </w:tr>
    </w:tbl>
    <w:p>
      <w:pPr>
        <w:pBdr>
          <w:left w:val="single" w:color="1a6b2a" w:sz="18" w:space="6"/>
        </w:pBdr>
        <w:spacing w:before="120" w:after="120"/>
      </w:pPr>
      <w:r>
        <w:rPr>
          <w:rFonts w:ascii="Arial" w:cs="Arial" w:eastAsia="Arial" w:hAnsi="Arial"/>
          <w:b/>
          <w:bCs/>
          <w:color w:val="1a6b2a"/>
          <w:sz w:val="22"/>
          <w:szCs w:val="22"/>
        </w:rPr>
        <w:t xml:space="preserve">  80% of all value remains in community hands at every level of the cascade — always. This is not a target. It is a floor.</w:t>
      </w:r>
    </w:p>
    <w:p>
      <w:pPr>
        <w:pStyle w:val="Heading2"/>
        <w:spacing w:before="240" w:after="100"/>
      </w:pPr>
      <w:r>
        <w:rPr>
          <w:rFonts w:ascii="Arial" w:cs="Arial" w:eastAsia="Arial" w:hAnsi="Arial"/>
          <w:b/>
          <w:bCs/>
          <w:color w:val="0f3460"/>
          <w:sz w:val="24"/>
          <w:szCs w:val="24"/>
        </w:rPr>
        <w:t xml:space="preserve">The Reverse Revenue Calculation — Dignity First</w:t>
      </w:r>
    </w:p>
    <w:p>
      <w:pPr>
        <w:spacing w:before="0" w:after="140"/>
      </w:pPr>
      <w:r>
        <w:rPr>
          <w:rFonts w:ascii="Arial" w:cs="Arial" w:eastAsia="Arial" w:hAnsi="Arial"/>
          <w:b w:val="false"/>
          <w:bCs w:val="false"/>
          <w:i w:val="false"/>
          <w:iCs w:val="false"/>
          <w:color w:val="111111"/>
          <w:sz w:val="22"/>
          <w:szCs w:val="22"/>
        </w:rPr>
        <w:t xml:space="preserve">The framework does not start with a budget and divide down. It starts with what participants need to live with dignity, then solves backward for the gross revenue required to deliver it: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 = P ÷ 0.40</w:t>
      </w:r>
    </w:p>
    <w:p>
      <w:pPr>
        <w:spacing w:before="0" w:after="140"/>
      </w:pPr>
      <w:r>
        <w:rPr>
          <w:rFonts w:ascii="Arial" w:cs="Arial" w:eastAsia="Arial" w:hAnsi="Arial"/>
          <w:b w:val="false"/>
          <w:bCs w:val="false"/>
          <w:i w:val="false"/>
          <w:iCs w:val="false"/>
          <w:color w:val="333333"/>
          <w:sz w:val="22"/>
          <w:szCs w:val="22"/>
        </w:rPr>
        <w:t xml:space="preserve">Where R = required gross revenue and P = the living wage income participants need. If a community requires $2M in direct participant income, the system needs $5M in gross restoration revenue to deliver it with the full Justice Floor intact. This means no one ever says "we cannot afford to pay the workers" — the workers' income defines the minimum viable revenue, not the other way around.</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3.  The secondary cascade — two simultaneous engines</w:t>
      </w:r>
    </w:p>
    <w:p>
      <w:pPr>
        <w:spacing w:before="0" w:after="140"/>
      </w:pPr>
      <w:r>
        <w:rPr>
          <w:rFonts w:ascii="Arial" w:cs="Arial" w:eastAsia="Arial" w:hAnsi="Arial"/>
          <w:b w:val="false"/>
          <w:bCs w:val="false"/>
          <w:i w:val="false"/>
          <w:iCs w:val="false"/>
          <w:color w:val="111111"/>
          <w:sz w:val="22"/>
          <w:szCs w:val="22"/>
        </w:rPr>
        <w:t xml:space="preserve">Both 10% streams (Progression and Scaling Reserve) feed their own complete independent engine. Neither stream sits idle. Both engines begin operating from Day 1 of the first restoration revenue dollar. Each engine runs the identical 20/40/20/10/10 Justice Floor.</w:t>
      </w:r>
    </w:p>
    <w:p>
      <w:pPr>
        <w:pStyle w:val="Heading2"/>
        <w:spacing w:before="240" w:after="100"/>
      </w:pPr>
      <w:r>
        <w:rPr>
          <w:rFonts w:ascii="Arial" w:cs="Arial" w:eastAsia="Arial" w:hAnsi="Arial"/>
          <w:b/>
          <w:bCs/>
          <w:color w:val="0f3460"/>
          <w:sz w:val="24"/>
          <w:szCs w:val="24"/>
        </w:rPr>
        <w:t xml:space="preserve">Engine 1 — The Progression Engine</w:t>
      </w:r>
    </w:p>
    <w:p>
      <w:pPr>
        <w:spacing w:before="0" w:after="140"/>
      </w:pPr>
      <w:r>
        <w:rPr>
          <w:rFonts w:ascii="Arial" w:cs="Arial" w:eastAsia="Arial" w:hAnsi="Arial"/>
          <w:b w:val="false"/>
          <w:bCs w:val="false"/>
          <w:i w:val="false"/>
          <w:iCs w:val="false"/>
          <w:color w:val="111111"/>
          <w:sz w:val="22"/>
          <w:szCs w:val="22"/>
        </w:rPr>
        <w:t xml:space="preserve">Fed by the 10% Progression Stream. Runs the Justice Floor. Splits 50/50:</w:t>
      </w:r>
    </w:p>
    <w:p>
      <w:pPr>
        <w:pStyle w:val="ListParagraph"/>
        <w:numPr>
          <w:ilvl w:val="0"/>
          <w:numId w:val="2"/>
        </w:numPr>
        <w:spacing w:after="80"/>
      </w:pPr>
      <w:r>
        <w:rPr>
          <w:rFonts w:ascii="Arial" w:cs="Arial" w:eastAsia="Arial" w:hAnsi="Arial"/>
          <w:sz w:val="22"/>
          <w:szCs w:val="22"/>
        </w:rPr>
        <w:t xml:space="preserve">50% to Aquifer recharge and seed repayment — builds underground pressure toward perpetual motion</w:t>
      </w:r>
    </w:p>
    <w:p>
      <w:pPr>
        <w:pStyle w:val="ListParagraph"/>
        <w:numPr>
          <w:ilvl w:val="0"/>
          <w:numId w:val="2"/>
        </w:numPr>
        <w:spacing w:after="80"/>
      </w:pPr>
      <w:r>
        <w:rPr>
          <w:rFonts w:ascii="Arial" w:cs="Arial" w:eastAsia="Arial" w:hAnsi="Arial"/>
          <w:sz w:val="22"/>
          <w:szCs w:val="22"/>
        </w:rPr>
        <w:t xml:space="preserve">50% to the Four Civilizational Streams — funds welfare, charity, space, and animal replenishment from Day 1</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Progression_Engine_Input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Aquifer + Seed Repayment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Four Civilizational Streams</w:t>
      </w:r>
    </w:p>
    <w:p>
      <w:pPr>
        <w:pStyle w:val="Heading2"/>
        <w:spacing w:before="240" w:after="100"/>
      </w:pPr>
      <w:r>
        <w:rPr>
          <w:rFonts w:ascii="Arial" w:cs="Arial" w:eastAsia="Arial" w:hAnsi="Arial"/>
          <w:b/>
          <w:bCs/>
          <w:color w:val="0f3460"/>
          <w:sz w:val="24"/>
          <w:szCs w:val="24"/>
        </w:rPr>
        <w:t xml:space="preserve">Engine 2 — The Scaling Reserve Engine</w:t>
      </w:r>
    </w:p>
    <w:p>
      <w:pPr>
        <w:spacing w:before="0" w:after="140"/>
      </w:pPr>
      <w:r>
        <w:rPr>
          <w:rFonts w:ascii="Arial" w:cs="Arial" w:eastAsia="Arial" w:hAnsi="Arial"/>
          <w:b w:val="false"/>
          <w:bCs w:val="false"/>
          <w:i w:val="false"/>
          <w:iCs w:val="false"/>
          <w:color w:val="111111"/>
          <w:sz w:val="22"/>
          <w:szCs w:val="22"/>
        </w:rPr>
        <w:t xml:space="preserve">Fed by the 10% Scaling Reserve Stream. Runs the identical Justice Floor. Splits 50/50:</w:t>
      </w:r>
    </w:p>
    <w:p>
      <w:pPr>
        <w:pStyle w:val="ListParagraph"/>
        <w:numPr>
          <w:ilvl w:val="0"/>
          <w:numId w:val="2"/>
        </w:numPr>
        <w:spacing w:after="80"/>
      </w:pPr>
      <w:r>
        <w:rPr>
          <w:rFonts w:ascii="Arial" w:cs="Arial" w:eastAsia="Arial" w:hAnsi="Arial"/>
          <w:sz w:val="22"/>
          <w:szCs w:val="22"/>
        </w:rPr>
        <w:t xml:space="preserve">50% to Aquifer recharge and seed repayment — second simultaneous feed into the underground pressure chamber</w:t>
      </w:r>
    </w:p>
    <w:p>
      <w:pPr>
        <w:pStyle w:val="ListParagraph"/>
        <w:numPr>
          <w:ilvl w:val="0"/>
          <w:numId w:val="2"/>
        </w:numPr>
        <w:spacing w:after="80"/>
      </w:pPr>
      <w:r>
        <w:rPr>
          <w:rFonts w:ascii="Arial" w:cs="Arial" w:eastAsia="Arial" w:hAnsi="Arial"/>
          <w:sz w:val="22"/>
          <w:szCs w:val="22"/>
        </w:rPr>
        <w:t xml:space="preserve">50% to the Four Civilizational Streams — doubles the Day 1 civilizational funding</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Scaling_Engine_Input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Aquifer + Seed Repayment</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50% → Four Civilizational Streams</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Both engines run simultaneously from Day 1. The Aquifer fills from two streams. The Four Rivers flow from two sources. This is not redundancy — it is the architecture of resilience.</w:t>
      </w:r>
    </w:p>
    <w:p>
      <w:pPr>
        <w:pStyle w:val="Heading2"/>
        <w:spacing w:before="240" w:after="100"/>
      </w:pPr>
      <w:r>
        <w:rPr>
          <w:rFonts w:ascii="Arial" w:cs="Arial" w:eastAsia="Arial" w:hAnsi="Arial"/>
          <w:b/>
          <w:bCs/>
          <w:color w:val="0f3460"/>
          <w:sz w:val="24"/>
          <w:szCs w:val="24"/>
        </w:rPr>
        <w:t xml:space="preserve">The Four Civilizational Streams</w:t>
      </w:r>
    </w:p>
    <w:p>
      <w:pPr>
        <w:spacing w:before="0" w:after="140"/>
      </w:pPr>
      <w:r>
        <w:rPr>
          <w:rFonts w:ascii="Arial" w:cs="Arial" w:eastAsia="Arial" w:hAnsi="Arial"/>
          <w:b w:val="false"/>
          <w:bCs w:val="false"/>
          <w:i w:val="false"/>
          <w:iCs w:val="false"/>
          <w:color w:val="111111"/>
          <w:sz w:val="22"/>
          <w:szCs w:val="22"/>
        </w:rPr>
        <w:t xml:space="preserve">Every dollar that flows to the Four Rivers is funded perpetually from Day 1 by both engines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River</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Funded by</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Note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Welfare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Social safety net, healthcare, basic dignity support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What every other system calls a cost — this system converts into a permanent funded output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Charity &amp; Reconciliation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Community healing, reconciliation, atonement projects</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Church + First Nations partnership — healing flows here continuously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Space Exploration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Orbital restoration, space debris clearance, frontier stewardship</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Black Yellow Label operations — restoration logic extended to orbit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Animal Replenishment River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Wildlife reinhabitation, biodiversity restoration, ecosystem recovery</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val="false"/>
                <w:bCs w:val="false"/>
                <w:color w:val="1a6b2a"/>
                <w:sz w:val="20"/>
                <w:szCs w:val="20"/>
              </w:rPr>
              <w:t xml:space="preserve">Both engines, Day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555555"/>
                <w:sz w:val="18"/>
                <w:szCs w:val="18"/>
              </w:rPr>
              <w:t xml:space="preserve">The fourth river — added to the corrected architecture. Funded from first revenue.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4.  The Aquifer — underground pressure builds</w:t>
      </w:r>
    </w:p>
    <w:p>
      <w:pPr>
        <w:spacing w:before="0" w:after="140"/>
      </w:pPr>
      <w:r>
        <w:rPr>
          <w:rFonts w:ascii="Arial" w:cs="Arial" w:eastAsia="Arial" w:hAnsi="Arial"/>
          <w:b w:val="false"/>
          <w:bCs w:val="false"/>
          <w:i w:val="false"/>
          <w:iCs w:val="false"/>
          <w:color w:val="111111"/>
          <w:sz w:val="22"/>
          <w:szCs w:val="22"/>
        </w:rPr>
        <w:t xml:space="preserve">The Aquifer is the financial reserve that accumulates beneath the system as both secondary engines feed it simultaneously. It is not an investment account. It is not a reserve fund in the conventional sense. It is the underground pressure chamber of the watershed — filling from rainfall, building pressure, waiting for the moment the Godspring rises.</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Aquifer_Recharge = 0.10 × Gross_Revenue  (from both engines combined)</w:t>
      </w:r>
    </w:p>
    <w:p>
      <w:pPr>
        <w:spacing w:before="0" w:after="140"/>
      </w:pPr>
      <w:r>
        <w:rPr>
          <w:rFonts w:ascii="Arial" w:cs="Arial" w:eastAsia="Arial" w:hAnsi="Arial"/>
          <w:b w:val="false"/>
          <w:bCs w:val="false"/>
          <w:i w:val="false"/>
          <w:iCs w:val="false"/>
          <w:color w:val="111111"/>
          <w:sz w:val="22"/>
          <w:szCs w:val="22"/>
        </w:rPr>
        <w:t xml:space="preserve">Cumulative Aquifer over 5 years at minimum viable gross 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Aquifer_5yr = 0.50 × Gross_Revenue_Cumulative</w:t>
      </w:r>
    </w:p>
    <w:p>
      <w:pPr>
        <w:spacing w:before="0" w:after="140"/>
      </w:pPr>
      <w:r>
        <w:rPr>
          <w:rFonts w:ascii="Arial" w:cs="Arial" w:eastAsia="Arial" w:hAnsi="Arial"/>
          <w:b w:val="false"/>
          <w:bCs w:val="false"/>
          <w:i w:val="false"/>
          <w:iCs w:val="false"/>
          <w:color w:val="111111"/>
          <w:sz w:val="22"/>
          <w:szCs w:val="22"/>
        </w:rPr>
        <w:t xml:space="preserve">At the conservative seed repayment threshold:</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0.50R = $18.5M  →  R = $37M cumulative gross revenue over 5 years</w:t>
      </w:r>
    </w:p>
    <w:p>
      <w:pPr>
        <w:spacing w:before="0" w:after="140"/>
      </w:pPr>
      <w:r>
        <w:rPr>
          <w:rFonts w:ascii="Arial" w:cs="Arial" w:eastAsia="Arial" w:hAnsi="Arial"/>
          <w:b w:val="false"/>
          <w:bCs w:val="false"/>
          <w:i w:val="false"/>
          <w:iCs w:val="false"/>
          <w:color w:val="111111"/>
          <w:sz w:val="22"/>
          <w:szCs w:val="22"/>
        </w:rPr>
        <w:t xml:space="preserve">This means the system needs to generate an average of $7.4M per year in gross restoration revenue across all active nodes to fully repay the seed investment by Year 5. Kenya pilot data — 30 workers, zero government direction — indicates this is achievable within three years at operational scale.</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Kenya field validation: 30 workers, zero direction, 500,000+ tonnes cleared, $2.93B documented cascade value, government cost $0. Internal documentation available on request.</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5.  The Godspring — seed repaid, pressure rises</w:t>
      </w:r>
    </w:p>
    <w:p>
      <w:pPr>
        <w:spacing w:before="0" w:after="140"/>
      </w:pPr>
      <w:r>
        <w:rPr>
          <w:rFonts w:ascii="Arial" w:cs="Arial" w:eastAsia="Arial" w:hAnsi="Arial"/>
          <w:b w:val="false"/>
          <w:bCs w:val="false"/>
          <w:i w:val="false"/>
          <w:iCs w:val="false"/>
          <w:color w:val="111111"/>
          <w:sz w:val="22"/>
          <w:szCs w:val="22"/>
        </w:rPr>
        <w:t xml:space="preserve">The Godspring is the primary revenue source that rises when the Aquifer reaches sufficient pressure. It does not pump. It rises. The same water, over and over, forever — shaped by the terrain the framework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Period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What is happening</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Years 1–5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Active — filling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Both engines run. Aquifer fills from two simultaneous streams. Four Rivers funded from Day 1. Seed repayment accumulates in the Aquifer.</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5</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Threshold reached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0.50R = $18.5M. Seed fully repaid. Government investment returned in full. No further funding required from this point.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6+</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Perpetual motion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Godspring rises from full Aquifer. System runs on its own restoration rainfall. Four Rivers funded permanently. Zero government funding required.</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Year 6+ repayment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Stream redirected</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repayment stream does not stop — it redirects in real time, guided by GTT flourishing data and institutional partners, to wherever human need is greatest.</w:t>
            </w:r>
          </w:p>
        </w:tc>
      </w:tr>
    </w:tbl>
    <w:p>
      <w:pPr>
        <w:pStyle w:val="Heading2"/>
        <w:spacing w:before="240" w:after="100"/>
      </w:pPr>
      <w:r>
        <w:rPr>
          <w:rFonts w:ascii="Arial" w:cs="Arial" w:eastAsia="Arial" w:hAnsi="Arial"/>
          <w:b/>
          <w:bCs/>
          <w:color w:val="0f3460"/>
          <w:sz w:val="24"/>
          <w:szCs w:val="24"/>
        </w:rPr>
        <w:t xml:space="preserve">Seed repayment proof</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Scaling_Stream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ROI_River = 0.40 × Scaling_Stream = 0.04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Return = ROI_River × 10 = 0.40 × Gross_Revenue  (conservative 10× ROI floor)</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Aquifer_Recharge = 0.25 × Return = 0.10 × Gross_Revenue</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Seed_Repayment: 0.50R = $18.5M  →  Gross_Revenue_Required = $37M cumulative</w:t>
      </w:r>
    </w:p>
    <w:p>
      <w:pPr>
        <w:spacing w:before="0" w:after="140"/>
      </w:pPr>
      <w:r>
        <w:rPr>
          <w:rFonts w:ascii="Arial" w:cs="Arial" w:eastAsia="Arial" w:hAnsi="Arial"/>
          <w:b w:val="false"/>
          <w:bCs w:val="false"/>
          <w:i/>
          <w:iCs/>
          <w:color w:val="111111"/>
          <w:sz w:val="22"/>
          <w:szCs w:val="22"/>
        </w:rPr>
        <w:t xml:space="preserve">The mathematics self-confirm: the Aquifer recharge exactly equals the original Scaling Stream volume. The system is architecturally balanced — not by accident, but by design.</w:t>
      </w:r>
    </w:p>
    <w:p>
      <w:pPr>
        <w:pStyle w:val="Heading2"/>
        <w:spacing w:before="240" w:after="100"/>
      </w:pPr>
      <w:r>
        <w:rPr>
          <w:rFonts w:ascii="Arial" w:cs="Arial" w:eastAsia="Arial" w:hAnsi="Arial"/>
          <w:b/>
          <w:bCs/>
          <w:color w:val="0f3460"/>
          <w:sz w:val="24"/>
          <w:szCs w:val="24"/>
        </w:rPr>
        <w:t xml:space="preserve">Why conservative numbers matter</w:t>
      </w:r>
    </w:p>
    <w:p>
      <w:pPr>
        <w:spacing w:before="0" w:after="140"/>
      </w:pPr>
      <w:r>
        <w:rPr>
          <w:rFonts w:ascii="Arial" w:cs="Arial" w:eastAsia="Arial" w:hAnsi="Arial"/>
          <w:b w:val="false"/>
          <w:bCs w:val="false"/>
          <w:i w:val="false"/>
          <w:iCs w:val="false"/>
          <w:color w:val="111111"/>
          <w:sz w:val="22"/>
          <w:szCs w:val="22"/>
        </w:rPr>
        <w:t xml:space="preserve">Every figure in this manual is set at or below the conservative floor of its published evidence range:</w:t>
      </w:r>
    </w:p>
    <w:p>
      <w:pPr>
        <w:pStyle w:val="ListParagraph"/>
        <w:numPr>
          <w:ilvl w:val="0"/>
          <w:numId w:val="2"/>
        </w:numPr>
        <w:spacing w:after="80"/>
      </w:pPr>
      <w:r>
        <w:rPr>
          <w:rFonts w:ascii="Arial" w:cs="Arial" w:eastAsia="Arial" w:hAnsi="Arial"/>
          <w:sz w:val="22"/>
          <w:szCs w:val="22"/>
        </w:rPr>
        <w:t xml:space="preserve">10× ROI used — Kenya pilot data supports 500×+. Framework uses 10× as the institutional floor.</w:t>
      </w:r>
    </w:p>
    <w:p>
      <w:pPr>
        <w:pStyle w:val="ListParagraph"/>
        <w:numPr>
          <w:ilvl w:val="0"/>
          <w:numId w:val="2"/>
        </w:numPr>
        <w:spacing w:after="80"/>
      </w:pPr>
      <w:r>
        <w:rPr>
          <w:rFonts w:ascii="Arial" w:cs="Arial" w:eastAsia="Arial" w:hAnsi="Arial"/>
          <w:sz w:val="22"/>
          <w:szCs w:val="22"/>
        </w:rPr>
        <w:t xml:space="preserve">5-year repayment — Kenya data supports 3 years. Framework uses 5 years for government planning purposes.</w:t>
      </w:r>
    </w:p>
    <w:p>
      <w:pPr>
        <w:pStyle w:val="ListParagraph"/>
        <w:numPr>
          <w:ilvl w:val="0"/>
          <w:numId w:val="2"/>
        </w:numPr>
        <w:spacing w:after="80"/>
      </w:pPr>
      <w:r>
        <w:rPr>
          <w:rFonts w:ascii="Arial" w:cs="Arial" w:eastAsia="Arial" w:hAnsi="Arial"/>
          <w:sz w:val="22"/>
          <w:szCs w:val="22"/>
        </w:rPr>
        <w:t xml:space="preserve">$7.4M/year gross revenue required — a single active restoration node in a mid-sized First Nations community generates this within Year 1 at full operation.</w:t>
      </w:r>
    </w:p>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framework is designed to under-promise and over-deliver. The pilot will produce real data. The real data will speak for itself."  — Mathematics Manual, Closing</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6.  Perpetual motion — the watershed sustains itself</w:t>
      </w:r>
    </w:p>
    <w:p>
      <w:pPr>
        <w:spacing w:before="0" w:after="140"/>
      </w:pPr>
      <w:r>
        <w:rPr>
          <w:rFonts w:ascii="Arial" w:cs="Arial" w:eastAsia="Arial" w:hAnsi="Arial"/>
          <w:b w:val="false"/>
          <w:bCs w:val="false"/>
          <w:i w:val="false"/>
          <w:iCs w:val="false"/>
          <w:color w:val="111111"/>
          <w:sz w:val="22"/>
          <w:szCs w:val="22"/>
        </w:rPr>
        <w:t xml:space="preserve">Year 6 and beyond. No external energy required. The watershed sustains itself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Basis</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Government funding from Year 6</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self-sustaining from restoration revenue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GSRT Watershed architecture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Conservative ROI floor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Kenya pilot supports 500×+. 10× used for institutional planning.</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Kenya field validation + Mathematics Manual</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Local value retention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80%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Justice Floor — hardcoded, never moves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20/40/20/10/10 architecture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Civilizational streams funded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4 Rivers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Welfare, Charity &amp; Reconciliation, Space, Animal Replenishment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Both engines, Day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Seed repayment timeline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Year 5 (conservative)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Year 3 (Kenya data)</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pilot documentation</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gross revenue required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$7.4M average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Across all active nodes — achievable within Year 1 at operational scale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Reverse Revenue Calculation</w:t>
            </w:r>
          </w:p>
        </w:tc>
      </w:tr>
    </w:tbl>
    <w:p>
      <w:pPr>
        <w:pBdr>
          <w:top w:val="single" w:color="B8860B" w:sz="2" w:space="1"/>
          <w:bottom w:val="single" w:color="B8860B" w:sz="2" w:space="1"/>
          <w:left w:val="single" w:color="B8860B" w:sz="18" w:space="6"/>
        </w:pBdr>
        <w:spacing w:before="120" w:after="120"/>
      </w:pPr>
      <w:r>
        <w:rPr>
          <w:rFonts w:ascii="Arial" w:cs="Arial" w:eastAsia="Arial" w:hAnsi="Arial"/>
          <w:i/>
          <w:iCs/>
          <w:color w:val="333333"/>
          <w:sz w:val="22"/>
          <w:szCs w:val="22"/>
        </w:rPr>
        <w:t xml:space="preserve">  "The government's investment is not spent. It shapes the terrain. Then the rain does the rest."</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7.  The Trinity Partnership — 33/33/33/1%</w:t>
      </w:r>
    </w:p>
    <w:p>
      <w:pPr>
        <w:spacing w:before="0" w:after="140"/>
      </w:pPr>
      <w:r>
        <w:rPr>
          <w:rFonts w:ascii="Arial" w:cs="Arial" w:eastAsia="Arial" w:hAnsi="Arial"/>
          <w:b w:val="false"/>
          <w:bCs w:val="false"/>
          <w:i w:val="false"/>
          <w:iCs w:val="false"/>
          <w:color w:val="111111"/>
          <w:sz w:val="22"/>
          <w:szCs w:val="22"/>
        </w:rPr>
        <w:t xml:space="preserve">The 33/33/33/1% structure represents both governance authority and profit distribution equally. No partner holds more than their sovereign share. No partner can be overridden on matters within their designated authority. Consensus is required for all structural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Partner</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Share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Role in Watershed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Specific authority</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First Nations — COG 1: The Muscle</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Sovereign design authority over all revenue-generating restoration work</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Veto over all land-use decisions. Traditional Ecological Knowledge primary intelligence. 40% participant floor flows to their communities first.</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Catholic Church — COG 2: The Heart</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Circulatory system and infrastructure provider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Facilities network activated at zero capital cost. Servant posture under First Nations authority. TRC reconciliation architecture.</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Government of Canada — The Anchor</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33%</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Anchor customer and seed investor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Purchases verified ecological credits. Seeds the Godspring ($18.5M). Regulatory facilitation. Repaid in full by Year 5.</w:t>
            </w:r>
          </w:p>
        </w:tc>
      </w:tr>
      <w:tr>
        <w:tc>
          <w:tcPr>
            <w:tcBorders>
              <w:top w:val="single" w:color="CCCCCC" w:sz="1"/>
              <w:left w:val="single" w:color="CCCCCC" w:sz="1"/>
              <w:bottom w:val="single" w:color="CCCCCC" w:sz="1"/>
              <w:right w:val="single" w:color="CCCCCC" w:sz="1"/>
            </w:tcBorders>
            <w:shd w:fill="EFF4FF" w:val="clear"/>
            <w:tcMar>
              <w:top w:type="dxa" w:w="80"/>
              <w:left w:type="dxa" w:w="140"/>
              <w:bottom w:type="dxa" w:w="80"/>
              <w:right w:type="dxa" w:w="140"/>
            </w:tcMar>
          </w:tcPr>
          <w:p>
            <w:r>
              <w:rPr>
                <w:rFonts w:ascii="Arial" w:cs="Arial" w:eastAsia="Arial" w:hAnsi="Arial"/>
                <w:b/>
                <w:bCs/>
                <w:color w:val="1F4E79"/>
                <w:sz w:val="20"/>
                <w:szCs w:val="20"/>
              </w:rPr>
              <w:t xml:space="preserve">Framework Architect — Neil J. Schwab</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bCs/>
                <w:color w:val="0f3460"/>
                <w:sz w:val="20"/>
                <w:szCs w:val="20"/>
              </w:rPr>
              <w:t xml:space="preserve">Firmware maintenance and integrity service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operational royalty — transparent, capped, active service only. 1% legacy royalty on growth exceeding 10% annual returns. Documented in Hodge Gate.</w:t>
            </w:r>
          </w:p>
        </w:tc>
      </w:tr>
    </w:tbl>
    <w:p>
      <w:pPr>
        <w:pStyle w:val="Heading1"/>
        <w:pageBreakBefore/>
        <w:pBdr>
          <w:bottom w:val="single" w:color="B8860B" w:sz="4" w:space="1"/>
        </w:pBdr>
        <w:spacing w:before="360" w:after="140"/>
      </w:pPr>
      <w:r>
        <w:rPr>
          <w:rFonts w:ascii="Arial" w:cs="Arial" w:eastAsia="Arial" w:hAnsi="Arial"/>
          <w:b/>
          <w:bCs/>
          <w:color w:val="1F4E79"/>
          <w:sz w:val="30"/>
          <w:szCs w:val="30"/>
        </w:rPr>
        <w:t xml:space="preserve">8.  Governance protections — the financial firewalls</w:t>
      </w:r>
    </w:p>
    <w:p>
      <w:pPr>
        <w:pStyle w:val="Heading2"/>
        <w:spacing w:before="240" w:after="100"/>
      </w:pPr>
      <w:r>
        <w:rPr>
          <w:rFonts w:ascii="Arial" w:cs="Arial" w:eastAsia="Arial" w:hAnsi="Arial"/>
          <w:b/>
          <w:bCs/>
          <w:color w:val="0f3460"/>
          <w:sz w:val="24"/>
          <w:szCs w:val="24"/>
        </w:rPr>
        <w:t xml:space="preserve">The Hodge Gate</w:t>
      </w:r>
    </w:p>
    <w:p>
      <w:pPr>
        <w:spacing w:before="0" w:after="140"/>
      </w:pPr>
      <w:r>
        <w:rPr>
          <w:rFonts w:ascii="Arial" w:cs="Arial" w:eastAsia="Arial" w:hAnsi="Arial"/>
          <w:b w:val="false"/>
          <w:bCs w:val="false"/>
          <w:i w:val="false"/>
          <w:iCs w:val="false"/>
          <w:color w:val="111111"/>
          <w:sz w:val="22"/>
          <w:szCs w:val="22"/>
        </w:rPr>
        <w:t xml:space="preserve">All structural changes to the waterfall architecture — any modification to the Justice Floor percentages, any change to engine design, any redirection of civilizational stream funds — must pass through the Hodge Gate. Named for Frederick Joseph Hodge, who spent 95 years building educational communities rooted in dignity. The standard: does this change serve every participant in the room?</w:t>
      </w:r>
    </w:p>
    <w:p>
      <w:pPr>
        <w:spacing w:before="0" w:after="140"/>
      </w:pPr>
      <w:r>
        <w:rPr>
          <w:rFonts w:ascii="Arial" w:cs="Arial" w:eastAsia="Arial" w:hAnsi="Arial"/>
          <w:b w:val="false"/>
          <w:bCs w:val="false"/>
          <w:i w:val="false"/>
          <w:iCs w:val="false"/>
          <w:color w:val="111111"/>
          <w:sz w:val="22"/>
          <w:szCs w:val="22"/>
        </w:rPr>
        <w:t xml:space="preserve">The Hodge Gate cannot be triggered by the Framework Architect alone. It requires consensus of all three institutional partners.</w:t>
      </w:r>
    </w:p>
    <w:p>
      <w:pPr>
        <w:pStyle w:val="Heading2"/>
        <w:spacing w:before="240" w:after="100"/>
      </w:pPr>
      <w:r>
        <w:rPr>
          <w:rFonts w:ascii="Arial" w:cs="Arial" w:eastAsia="Arial" w:hAnsi="Arial"/>
          <w:b/>
          <w:bCs/>
          <w:color w:val="0f3460"/>
          <w:sz w:val="24"/>
          <w:szCs w:val="24"/>
        </w:rPr>
        <w:t xml:space="preserve">The 90-day Stop/Adjust Rule</w:t>
      </w:r>
    </w:p>
    <w:p>
      <w:pPr>
        <w:spacing w:before="0" w:after="140"/>
      </w:pPr>
      <w:r>
        <w:rPr>
          <w:rFonts w:ascii="Arial" w:cs="Arial" w:eastAsia="Arial" w:hAnsi="Arial"/>
          <w:b w:val="false"/>
          <w:bCs w:val="false"/>
          <w:i w:val="false"/>
          <w:iCs w:val="false"/>
          <w:color w:val="111111"/>
          <w:sz w:val="22"/>
          <w:szCs w:val="22"/>
        </w:rPr>
        <w:t xml:space="preserve">No node fails under the GSRT architecture. If any node shows financial underperformance, the Architecture Review Function identifies the intervention point and modifies delivery within 90 days. The Justice Floor is not suspended during the adjustment period — participants continue to receive their 40% floor from Aquifer reserves if necessary.</w:t>
      </w:r>
    </w:p>
    <w:p>
      <w:pPr>
        <w:pStyle w:val="Heading2"/>
        <w:spacing w:before="240" w:after="100"/>
      </w:pPr>
      <w:r>
        <w:rPr>
          <w:rFonts w:ascii="Arial" w:cs="Arial" w:eastAsia="Arial" w:hAnsi="Arial"/>
          <w:b/>
          <w:bCs/>
          <w:color w:val="0f3460"/>
          <w:sz w:val="24"/>
          <w:szCs w:val="24"/>
        </w:rPr>
        <w:t xml:space="preserve">The Lest We Forget Gate</w:t>
      </w:r>
    </w:p>
    <w:p>
      <w:pPr>
        <w:spacing w:before="0" w:after="140"/>
      </w:pPr>
      <w:r>
        <w:rPr>
          <w:rFonts w:ascii="Arial" w:cs="Arial" w:eastAsia="Arial" w:hAnsi="Arial"/>
          <w:b w:val="false"/>
          <w:bCs w:val="false"/>
          <w:i w:val="false"/>
          <w:iCs w:val="false"/>
          <w:color w:val="111111"/>
          <w:sz w:val="22"/>
          <w:szCs w:val="22"/>
        </w:rPr>
        <w:t xml:space="preserve">Monitors all partner governance for signs of Justice Floor erosion, extraction patterns, or redirection of participant income. The anti-capture firewall. Named for the principle that systems built to serve communities have a long history of being captured and turned against them. The LWF Gate ensures this architecture cannot follow that history.</w:t>
      </w:r>
    </w:p>
    <w:p>
      <w:pPr>
        <w:pStyle w:val="Heading2"/>
        <w:spacing w:before="240" w:after="100"/>
      </w:pPr>
      <w:r>
        <w:rPr>
          <w:rFonts w:ascii="Arial" w:cs="Arial" w:eastAsia="Arial" w:hAnsi="Arial"/>
          <w:b/>
          <w:bCs/>
          <w:color w:val="0f3460"/>
          <w:sz w:val="24"/>
          <w:szCs w:val="24"/>
        </w:rPr>
        <w:t xml:space="preserve">VVV Gate — antifragility firewall</w:t>
      </w:r>
    </w:p>
    <w:p>
      <w:pPr>
        <w:spacing w:before="0" w:after="140"/>
      </w:pPr>
      <w:r>
        <w:rPr>
          <w:rFonts w:ascii="Arial" w:cs="Arial" w:eastAsia="Arial" w:hAnsi="Arial"/>
          <w:b w:val="false"/>
          <w:bCs w:val="false"/>
          <w:i w:val="false"/>
          <w:iCs w:val="false"/>
          <w:color w:val="111111"/>
          <w:sz w:val="22"/>
          <w:szCs w:val="22"/>
        </w:rPr>
        <w:t xml:space="preserve">The Values · Virtues · Veterans integrity constant (3.16875) applies to all financial data entering the system. Adversarial inputs — fraudulent restoration claims, inflated ecological credit values, misreported participant numbers — are scrubbed before they corrupt the waterfall calculations.</w:t>
      </w:r>
    </w:p>
    <w:p>
      <w:pPr>
        <w:pBdr>
          <w:left w:val="single" w:color="1F4E79" w:sz="12" w:space="6"/>
        </w:pBdr>
        <w:shd w:fill="F0F4FF" w:val="clear"/>
        <w:spacing w:before="80" w:after="80"/>
      </w:pPr>
      <w:r>
        <w:rPr>
          <w:rFonts w:ascii="Courier New" w:cs="Courier New" w:eastAsia="Courier New" w:hAnsi="Courier New"/>
          <w:b/>
          <w:bCs/>
          <w:color w:val="1F4E79"/>
          <w:sz w:val="22"/>
          <w:szCs w:val="22"/>
        </w:rPr>
        <w:t xml:space="preserve">    ΔS_system = ΔS_external − (VVV × ΔS_sacrifice) = 0.15 − (3.16875 × 0.12) = −0.23025</w:t>
      </w:r>
    </w:p>
    <w:p>
      <w:pPr>
        <w:spacing w:before="0" w:after="140"/>
      </w:pPr>
      <w:r>
        <w:rPr>
          <w:rFonts w:ascii="Arial" w:cs="Arial" w:eastAsia="Arial" w:hAnsi="Arial"/>
          <w:b w:val="false"/>
          <w:bCs w:val="false"/>
          <w:i/>
          <w:iCs/>
          <w:color w:val="111111"/>
          <w:sz w:val="22"/>
          <w:szCs w:val="22"/>
        </w:rPr>
        <w:t xml:space="preserve">Negative entropy. The financial system gains order as external chaos rises. It does not fail under pressure — it compounds.</w:t>
      </w:r>
    </w:p>
    <w:p>
      <w:pPr>
        <w:pStyle w:val="Heading1"/>
        <w:pageBreakBefore/>
        <w:pBdr>
          <w:bottom w:val="single" w:color="B8860B" w:sz="4" w:space="1"/>
        </w:pBdr>
        <w:spacing w:before="360" w:after="140"/>
      </w:pPr>
      <w:r>
        <w:rPr>
          <w:rFonts w:ascii="Arial" w:cs="Arial" w:eastAsia="Arial" w:hAnsi="Arial"/>
          <w:b/>
          <w:bCs/>
          <w:color w:val="1F4E79"/>
          <w:sz w:val="30"/>
          <w:szCs w:val="30"/>
        </w:rPr>
        <w:t xml:space="preserve">9.  Evidence floors — every financial claim sourced</w:t>
      </w:r>
    </w:p>
    <w:p>
      <w:pPr>
        <w:spacing w:before="0" w:after="140"/>
      </w:pPr>
      <w:r>
        <w:rPr>
          <w:rFonts w:ascii="Arial" w:cs="Arial" w:eastAsia="Arial" w:hAnsi="Arial"/>
          <w:b w:val="false"/>
          <w:bCs w:val="false"/>
          <w:i w:val="false"/>
          <w:iCs w:val="false"/>
          <w:color w:val="111111"/>
          <w:sz w:val="22"/>
          <w:szCs w:val="22"/>
        </w:rPr>
        <w:t xml:space="preserve">Every figure in this manual is set at or below the conservative floor of its published evidence range. This is documented policy of the Framework Architect. Controllers may substitute their own unit costs. The architecture holds regardless.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800"/>
        <w:gridCol w:w="3360"/>
      </w:tblGrid>
      <w:tr>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Claim</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Value used</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Published range</w:t>
            </w:r>
          </w:p>
        </w:tc>
        <w:tc>
          <w:tcPr>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cost per Limbic Prison person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$120,000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$105K–$130K composite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CIHI + Public Safety Canada + ESDC — see Citations &amp; Evidence Addendum, 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Sovereign ROI swing per person</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$185,000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$120K cost avoided + $65K contribution</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$120K Limbic Prison + $65K productivity — Evidence 1</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Land value increase from greening</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30%</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30%–64% adjacent</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Wharton School / PA Environment Digest — Evidence 2</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Flood prevention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5× cheaper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6–10× published range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Journal of Hydrology (2024) + EPA (2025) — Evidence 3</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Lighthouse ROI</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$8.28 per $1</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Actual data supports higher</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ProQOL + H&amp;S Board data — Evidence 4</w:t>
            </w:r>
          </w:p>
        </w:tc>
      </w:tr>
      <w:tr>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Seed repayment — gross revenue required</w:t>
            </w:r>
          </w:p>
        </w:tc>
        <w:tc>
          <w:tcPr>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tcPr>
          <w:p>
            <w:r>
              <w:rPr>
                <w:rFonts w:ascii="Arial" w:cs="Arial" w:eastAsia="Arial" w:hAnsi="Arial"/>
                <w:b/>
                <w:bCs/>
                <w:color w:val="1a6b2a"/>
                <w:sz w:val="20"/>
                <w:szCs w:val="20"/>
              </w:rPr>
              <w:t xml:space="preserve">$37M cumulative</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$22M at Kenya pilot returns</w:t>
            </w:r>
          </w:p>
        </w:tc>
        <w:tc>
          <w:tcPr>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Conservative 10× floor — Evidence 5</w:t>
            </w:r>
          </w:p>
        </w:tc>
      </w:tr>
    </w:tbl>
    <w:p>
      <w:pPr>
        <w:pBdr>
          <w:top w:val="single" w:color="B8860B" w:sz="4" w:space="1"/>
        </w:pBdr>
        <w:spacing w:before="400" w:after="80"/>
        <w:jc w:val="center"/>
      </w:pPr>
      <w:r>
        <w:rPr>
          <w:rFonts w:ascii="Arial" w:cs="Arial" w:eastAsia="Arial" w:hAnsi="Arial"/>
          <w:b/>
          <w:bCs/>
          <w:color w:val="1F4E79"/>
          <w:sz w:val="22"/>
          <w:szCs w:val="22"/>
        </w:rPr>
        <w:t xml:space="preserve">Neil J. Schwab  ·  Framework Architect  ·  GSRT</w:t>
      </w:r>
    </w:p>
    <w:p>
      <w:pPr>
        <w:spacing w:after="60"/>
        <w:jc w:val="center"/>
      </w:pPr>
      <w:r>
        <w:rPr>
          <w:rFonts w:ascii="Arial" w:cs="Arial" w:eastAsia="Arial" w:hAnsi="Arial"/>
          <w:color w:val="555555"/>
          <w:sz w:val="20"/>
          <w:szCs w:val="20"/>
        </w:rPr>
        <w:t xml:space="preserve">neil.schwab@live.ca  ·  +1 (905) 868-6985  ·  Newmarket, Ontario, Canada  ·  February 2026</w:t>
      </w:r>
    </w:p>
    <w:p>
      <w:pPr>
        <w:spacing w:before="160"/>
        <w:jc w:val="center"/>
      </w:pPr>
      <w:r>
        <w:rPr>
          <w:rFonts w:ascii="Arial" w:cs="Arial" w:eastAsia="Arial" w:hAnsi="Arial"/>
          <w:b/>
          <w:bCs/>
          <w:color w:val="B8860B"/>
          <w:sz w:val="22"/>
          <w:szCs w:val="22"/>
        </w:rPr>
        <w:t xml:space="preserve">FORGIVE YESTERDAY  •  HEAL TODAY  •  FLOURISH TOMORROW  •  TOGETHER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Monetary Watershed Manual  |  Neil J. Schwab, Framework Architect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2026-03-02T01:47:47.452Z</dcterms:created>
  <dcterms:modified xsi:type="dcterms:W3CDTF">2026-03-02T01:47:47.453Z</dcterms:modified>
</cp:coreProperties>
</file>

<file path=docProps/custom.xml><?xml version="1.0" encoding="utf-8"?>
<Properties xmlns="http://schemas.openxmlformats.org/officeDocument/2006/custom-properties" xmlns:vt="http://schemas.openxmlformats.org/officeDocument/2006/docPropsVTypes"/>
</file>