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Paper 1: Structured Relapse Prevention Using Established Modalities</w:t>
      </w:r>
    </w:p>
    <w:p>
      <w:r>
        <w:t>This paper presents a comprehensive Structured Relapse Prevention Plan (SRPP) using established and widely recognised modalities, including the Gorski–CENAPS relapse‑as‑process model, Post‑Acute Withdrawal Syndrome (PAWS) education, and Pause in the G.A.P.S. interruption framework. The intention of this paper is to meet all assignment criteria using an academic and institutional lens while remaining realistic to how relapse presents in early recovery.</w:t>
      </w:r>
    </w:p>
    <w:p>
      <w:pPr>
        <w:pStyle w:val="Heading2"/>
      </w:pPr>
      <w:r>
        <w:rPr>
          <w:sz w:val="24"/>
        </w:rPr>
        <w:t>Client Scenario Overview</w:t>
      </w:r>
    </w:p>
    <w:p>
      <w:r>
        <w:t>The client is an adult male in a three‑month inpatient substance use treatment program with eight weeks of abstinence. Based on consistent engagement and progress, he has been granted his first weekend pass. This transition represents a high‑risk period due to reduced structure, increased autonomy, exposure to environmental triggers, and ongoing Post‑Acute Withdrawal Symptoms.</w:t>
      </w:r>
    </w:p>
    <w:p>
      <w:pPr>
        <w:pStyle w:val="Heading2"/>
      </w:pPr>
      <w:r>
        <w:rPr>
          <w:sz w:val="24"/>
        </w:rPr>
        <w:t>Relapse as a Process (CENAPS)</w:t>
      </w:r>
    </w:p>
    <w:p>
      <w:r>
        <w:t>Using the Gorski–CENAPS model, relapse is conceptualised as a process rather than a single event. Emotional relapse indicators such as irritability, boredom, restlessness, and isolation are expected to appear before mental relapse indicators such as rationalisation, craving, and minimisation. Recognising these stages allows for early interruption prior to substance use.</w:t>
      </w:r>
    </w:p>
    <w:p>
      <w:pPr>
        <w:pStyle w:val="Heading2"/>
      </w:pPr>
      <w:r>
        <w:rPr>
          <w:sz w:val="24"/>
        </w:rPr>
        <w:t>PAWS Considerations</w:t>
      </w:r>
    </w:p>
    <w:p>
      <w:r>
        <w:t>At eight weeks abstinent, the client is likely experiencing PAWS. Symptoms may include emotional volatility, low stress tolerance, fatigue, disrupted sleep, and cognitive fog. These symptoms significantly increase relapse vulnerability and are frequently misinterpreted as lack of motivation if not properly understood. This plan explicitly normalises PAWS as a developmental recovery phase.</w:t>
      </w:r>
    </w:p>
    <w:p>
      <w:pPr>
        <w:pStyle w:val="Heading2"/>
      </w:pPr>
      <w:r>
        <w:rPr>
          <w:sz w:val="24"/>
        </w:rPr>
        <w:t>Pause in the G.A.P.S. as Interruption</w:t>
      </w:r>
    </w:p>
    <w:p>
      <w:r>
        <w:t>Pause in the G.A.P.S. is used as an educational and orienting interruption framework to support early awareness and self‑regulation. It allows the client to name experiences without shame, slow internal escalation, and interrupt emotional or mental relapse before substance use occurs. It is applied without requiring disclosure or therapeutic processing.</w:t>
      </w:r>
    </w:p>
    <w:p>
      <w:pPr>
        <w:pStyle w:val="Heading2"/>
      </w:pPr>
      <w:r>
        <w:rPr>
          <w:sz w:val="24"/>
        </w:rPr>
        <w:t>Recovery Weekend Planner</w:t>
      </w:r>
    </w:p>
    <w:p>
      <w:r>
        <w:t>A structured Recovery Weekend Planner supports predictable rhythm, low‑risk activities, grounding practices, and reduced exposure to triggering environments. The planner is not used as a compliance test, but as a supportive container for early recovery capacity.</w:t>
      </w:r>
    </w:p>
    <w:p>
      <w:pPr>
        <w:pStyle w:val="Heading2"/>
      </w:pPr>
      <w:r>
        <w:rPr>
          <w:sz w:val="24"/>
        </w:rPr>
        <w:t>Anticipated Barriers and Responses</w:t>
      </w:r>
    </w:p>
    <w:p>
      <w:r>
        <w:t>Anticipated barriers include boredom, emotional dysregulation, relationship stress, and desire for freedom following inpatient structure. Responses focus on interruption, pacing, and awareness rather than control or punishment.</w:t>
      </w:r>
    </w:p>
    <w:p>
      <w:pPr>
        <w:pStyle w:val="Heading2"/>
      </w:pPr>
      <w:r>
        <w:rPr>
          <w:sz w:val="24"/>
        </w:rPr>
        <w:t>Therapy and Group Considerations</w:t>
      </w:r>
    </w:p>
    <w:p>
      <w:r>
        <w:t>No additional mandatory therapy or group activities are scheduled during the weekend pass. This choice reflects relapse‑prevention best practices, which caution against overloading clients during high‑risk transitions.</w:t>
      </w:r>
    </w:p>
    <w:p>
      <w:pPr>
        <w:pStyle w:val="Heading2"/>
      </w:pPr>
      <w:r>
        <w:rPr>
          <w:sz w:val="24"/>
        </w:rPr>
        <w:t>Conclusion</w:t>
      </w:r>
    </w:p>
    <w:p>
      <w:r>
        <w:t>This plan meets all SRPP assignment criteria while remaining grounded in established relapse‑prevention theory. Relapse, if it occurs, is treated as information rather than failure, preserving dignity and engagement for long‑term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