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Paper 2: Dual‑Path, Capacity‑Based Relapse Prevention Framework</w:t>
      </w:r>
    </w:p>
    <w:p>
      <w:r>
        <w:t>This paper presents a fully expanded alternative response to the same Structured Relapse Prevention Planning (SRPP) assignment. While meeting identical assignment criteria, it applies a dual‑path, capacity‑based framework informed by GSRT Earthworks architecture. This approach integrates stabilization, interruption, and developmental sequencing in response to real‑world complexity.</w:t>
      </w:r>
    </w:p>
    <w:p>
      <w:pPr>
        <w:pStyle w:val="Heading2"/>
      </w:pPr>
      <w:r>
        <w:rPr>
          <w:sz w:val="24"/>
        </w:rPr>
        <w:t>Client Scenario Overview</w:t>
      </w:r>
    </w:p>
    <w:p>
      <w:r>
        <w:t>The client is eight weeks abstinent in a three‑month inpatient treatment program and has been approved for a weekend pass. This transition represents a high‑risk moment where recovery capacity may either hold or become exceeded due to PAWS, diminished structure, or environmental stress.</w:t>
      </w:r>
    </w:p>
    <w:p>
      <w:pPr>
        <w:pStyle w:val="Heading2"/>
      </w:pPr>
      <w:r>
        <w:rPr>
          <w:sz w:val="24"/>
        </w:rPr>
        <w:t>Dual‑Path Framework</w:t>
      </w:r>
    </w:p>
    <w:p>
      <w:r>
        <w:t>Rather than framing outcomes as success or failure, this model anticipates two possible paths. Path A involves stabilization and engagement; Path B involves relapse or capacity being exceeded. Both outcomes are anticipated and treated as clinically meaningful.</w:t>
      </w:r>
    </w:p>
    <w:p>
      <w:pPr>
        <w:pStyle w:val="Heading2"/>
      </w:pPr>
      <w:r>
        <w:rPr>
          <w:sz w:val="24"/>
        </w:rPr>
        <w:t>Phase 1: LLJ Onboarding Stabilization</w:t>
      </w:r>
    </w:p>
    <w:p>
      <w:r>
        <w:t>The Lifeguard’s Life Jacket (LLJ) approach is used at onboarding to support immediate nervous‑system regulation, co‑regulation, and dignity. The focus is stabilization rather than treatment or insight.</w:t>
      </w:r>
    </w:p>
    <w:p>
      <w:pPr>
        <w:pStyle w:val="Heading2"/>
      </w:pPr>
      <w:r>
        <w:rPr>
          <w:sz w:val="24"/>
        </w:rPr>
        <w:t>Phase 2: Interruption of Withdrawal (Pause in the G.A.P.S.)</w:t>
      </w:r>
    </w:p>
    <w:p>
      <w:r>
        <w:t>Pause in the G.A.P.S. is used to intercept withdrawal‑related distress and early relapse progression. It supports naming experience, reducing shame, and interrupting escalation without requiring disclosure or therapy.</w:t>
      </w:r>
    </w:p>
    <w:p>
      <w:pPr>
        <w:pStyle w:val="Heading2"/>
      </w:pPr>
      <w:r>
        <w:rPr>
          <w:sz w:val="24"/>
        </w:rPr>
        <w:t>Phase 3: Anchor as Take‑Home Orientation</w:t>
      </w:r>
    </w:p>
    <w:p>
      <w:r>
        <w:t>Anchor is provided as a take‑home, self‑directed orientation tool for personal regulation and continuity between structured supports. It allows participants to practice stabilization independently until higher‑capacity programming becomes appropriate.</w:t>
      </w:r>
    </w:p>
    <w:p>
      <w:pPr>
        <w:pStyle w:val="Heading2"/>
      </w:pPr>
      <w:r>
        <w:rPr>
          <w:sz w:val="24"/>
        </w:rPr>
        <w:t>Phase 4: Developmental Pathways (Slow Soak / HMA)</w:t>
      </w:r>
    </w:p>
    <w:p>
      <w:r>
        <w:t>Longer‑term developmental work such as Slow Soak or broader HMA participation is intentionally delayed until regulation and rhythm have been restored, often through work‑based structure. These phases are developmental rather than crisis‑oriented.</w:t>
      </w:r>
    </w:p>
    <w:p>
      <w:pPr>
        <w:pStyle w:val="Heading2"/>
      </w:pPr>
      <w:r>
        <w:rPr>
          <w:sz w:val="24"/>
        </w:rPr>
        <w:t>Risk, Barriers, and Safety</w:t>
      </w:r>
    </w:p>
    <w:p>
      <w:r>
        <w:t>This model maintains safety as the single non‑negotiable boundary. If capacity is exceeded, participation may pause without blame or exclusion, preserving dignity and system trust.</w:t>
      </w:r>
    </w:p>
    <w:p>
      <w:pPr>
        <w:pStyle w:val="Heading2"/>
      </w:pPr>
      <w:r>
        <w:rPr>
          <w:sz w:val="24"/>
        </w:rPr>
        <w:t>Therapy and Scope</w:t>
      </w:r>
    </w:p>
    <w:p>
      <w:r>
        <w:t>This framework does not replace therapy or clinical treatment. Instead, it provides environmental stabilization and sequencing that makes therapeutic work safer and more sustainable when it does occur.</w:t>
      </w:r>
    </w:p>
    <w:p>
      <w:pPr>
        <w:pStyle w:val="Heading2"/>
      </w:pPr>
      <w:r>
        <w:rPr>
          <w:sz w:val="24"/>
        </w:rPr>
        <w:t>Conclusion</w:t>
      </w:r>
    </w:p>
    <w:p>
      <w:r>
        <w:t>This dual‑path SRPP response satisfies all assignment criteria while offering an alternative, capacity‑based approach suited to complex recovery journeys. It demonstrates how relapse prevention can remain humane, structured, and system‑aware.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