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line="480"/>
        <w:jc w:val="center"/>
      </w:pPr>
      <w:r>
        <w:rPr>
          <w:rFonts w:ascii="Times New Roman" w:cs="Times New Roman" w:eastAsia="Times New Roman" w:hAnsi="Times New Roman"/>
          <w:sz w:val="24"/>
          <w:szCs w:val="24"/>
        </w:rPr>
        <w:t xml:space="preserve">Supplementary Submission: An Alternative Aftercare Pathway</w:t>
      </w:r>
    </w:p>
    <w:p>
      <w:pPr>
        <w:spacing w:after="200" w:line="480"/>
        <w:jc w:val="center"/>
      </w:pPr>
      <w:r>
        <w:rPr>
          <w:rFonts w:ascii="Times New Roman" w:cs="Times New Roman" w:eastAsia="Times New Roman" w:hAnsi="Times New Roman"/>
          <w:sz w:val="24"/>
          <w:szCs w:val="24"/>
        </w:rPr>
        <w:t xml:space="preserve">GSRT Earthworks: Gaining Ground</w:t>
      </w:r>
    </w:p>
    <w:p>
      <w:pPr>
        <w:spacing w:after="200" w:line="480"/>
        <w:jc w:val="center"/>
      </w:pPr>
      <w:r>
        <w:rPr>
          <w:rFonts w:ascii="Times New Roman" w:cs="Times New Roman" w:eastAsia="Times New Roman" w:hAnsi="Times New Roman"/>
          <w:sz w:val="24"/>
          <w:szCs w:val="24"/>
        </w:rPr>
        <w:t xml:space="preserve">as a Structured Recovery Destination for the SRPP Client</w:t>
      </w:r>
    </w:p>
    <w:p>
      <w:pPr>
        <w:spacing w:after="200" w:line="480"/>
      </w:pPr>
    </w:p>
    <w:p>
      <w:pPr>
        <w:spacing w:after="200" w:line="480"/>
        <w:jc w:val="center"/>
      </w:pPr>
      <w:r>
        <w:rPr>
          <w:rFonts w:ascii="Times New Roman" w:cs="Times New Roman" w:eastAsia="Times New Roman" w:hAnsi="Times New Roman"/>
          <w:sz w:val="24"/>
          <w:szCs w:val="24"/>
        </w:rPr>
        <w:t xml:space="preserve">[Student Names]</w:t>
      </w:r>
    </w:p>
    <w:p>
      <w:pPr>
        <w:spacing w:after="200" w:line="480"/>
        <w:jc w:val="center"/>
      </w:pPr>
      <w:r>
        <w:rPr>
          <w:rFonts w:ascii="Times New Roman" w:cs="Times New Roman" w:eastAsia="Times New Roman" w:hAnsi="Times New Roman"/>
          <w:sz w:val="24"/>
          <w:szCs w:val="24"/>
        </w:rPr>
        <w:t xml:space="preserve">Trios College</w:t>
      </w:r>
    </w:p>
    <w:p>
      <w:pPr>
        <w:spacing w:after="200" w:line="480"/>
        <w:jc w:val="center"/>
      </w:pPr>
      <w:r>
        <w:rPr>
          <w:rFonts w:ascii="Times New Roman" w:cs="Times New Roman" w:eastAsia="Times New Roman" w:hAnsi="Times New Roman"/>
          <w:sz w:val="24"/>
          <w:szCs w:val="24"/>
        </w:rPr>
        <w:t xml:space="preserve">RePrev: Structured Relapse Prevention Planning</w:t>
      </w:r>
    </w:p>
    <w:p>
      <w:pPr>
        <w:spacing w:after="200" w:line="480"/>
        <w:jc w:val="center"/>
      </w:pPr>
      <w:r>
        <w:rPr>
          <w:rFonts w:ascii="Times New Roman" w:cs="Times New Roman" w:eastAsia="Times New Roman" w:hAnsi="Times New Roman"/>
          <w:sz w:val="24"/>
          <w:szCs w:val="24"/>
        </w:rPr>
        <w:t xml:space="preserve">[Instructor Name]</w:t>
      </w:r>
    </w:p>
    <w:p>
      <w:pPr>
        <w:spacing w:after="200" w:line="480"/>
        <w:jc w:val="center"/>
      </w:pPr>
      <w:r>
        <w:rPr>
          <w:rFonts w:ascii="Times New Roman" w:cs="Times New Roman" w:eastAsia="Times New Roman" w:hAnsi="Times New Roman"/>
          <w:sz w:val="24"/>
          <w:szCs w:val="24"/>
        </w:rPr>
        <w:t xml:space="preserve">April 6, 2026</w:t>
      </w:r>
    </w:p>
    <w:p>
      <w:pPr>
        <w:sectPr>
          <w:pgSz w:w="12240" w:h="15840" w:orient="portrait"/>
          <w:pgMar w:top="1440" w:right="1440" w:bottom="1440" w:left="1440" w:header="708" w:footer="708" w:gutter="0"/>
          <w:pgNumType/>
          <w:docGrid w:linePitch="360"/>
        </w:sectPr>
      </w:pPr>
    </w:p>
    <w:p>
      <w:pPr>
        <w:spacing w:after="160" w:before="240" w:line="480"/>
        <w:jc w:val="center"/>
      </w:pPr>
      <w:r>
        <w:rPr>
          <w:rFonts w:ascii="Times New Roman" w:cs="Times New Roman" w:eastAsia="Times New Roman" w:hAnsi="Times New Roman"/>
          <w:b/>
          <w:bCs/>
          <w:sz w:val="24"/>
          <w:szCs w:val="24"/>
        </w:rPr>
        <w:t xml:space="preserve">Preamble: Why This Supplementary Document Exists</w:t>
      </w:r>
    </w:p>
    <w:p>
      <w:pPr>
        <w:spacing w:after="160" w:line="480"/>
        <w:ind w:firstLine="720"/>
      </w:pPr>
      <w:r>
        <w:rPr>
          <w:rFonts w:ascii="Times New Roman" w:cs="Times New Roman" w:eastAsia="Times New Roman" w:hAnsi="Times New Roman"/>
          <w:sz w:val="24"/>
          <w:szCs w:val="24"/>
        </w:rPr>
        <w:t xml:space="preserve">The primary assignment submission presents a standard Structured Relapse Prevention Plan for a weekend pass using the CENAPS model, the Transtheoretical Model, and accepted course content. It answers the assignment as written. This supplementary document presents an alternative aftercare pathway that the author has developed independently and believes represents a more comprehensive, sustainable, and neurochemically grounded approach to post-treatment recovery for clients with the profile described in the primary submission.</w:t>
      </w:r>
    </w:p>
    <w:p>
      <w:pPr>
        <w:spacing w:after="160" w:line="480"/>
        <w:ind w:firstLine="720"/>
      </w:pPr>
      <w:r>
        <w:rPr>
          <w:rFonts w:ascii="Times New Roman" w:cs="Times New Roman" w:eastAsia="Times New Roman" w:hAnsi="Times New Roman"/>
          <w:sz w:val="24"/>
          <w:szCs w:val="24"/>
        </w:rPr>
        <w:t xml:space="preserve">This is not presented as a replacement for the assignment. It is presented as a practitioner’s reflection on what could exist—and what is currently being built—for clients who complete inpatient treatment and face the question that the addiction system has historically struggled to answer: what comes next?</w:t>
      </w:r>
    </w:p>
    <w:p>
      <w:pPr>
        <w:spacing w:after="160" w:before="240" w:line="480"/>
        <w:jc w:val="center"/>
      </w:pPr>
      <w:r>
        <w:rPr>
          <w:rFonts w:ascii="Times New Roman" w:cs="Times New Roman" w:eastAsia="Times New Roman" w:hAnsi="Times New Roman"/>
          <w:b/>
          <w:bCs/>
          <w:sz w:val="24"/>
          <w:szCs w:val="24"/>
        </w:rPr>
        <w:t xml:space="preserve">The Problem: The Discharge Cliff</w:t>
      </w:r>
    </w:p>
    <w:p>
      <w:pPr>
        <w:spacing w:after="160" w:line="480"/>
        <w:ind w:firstLine="720"/>
      </w:pPr>
      <w:r>
        <w:rPr>
          <w:rFonts w:ascii="Times New Roman" w:cs="Times New Roman" w:eastAsia="Times New Roman" w:hAnsi="Times New Roman"/>
          <w:sz w:val="24"/>
          <w:szCs w:val="24"/>
        </w:rPr>
        <w:t xml:space="preserve">The standard aftercare model for a client completing a 90-day residential inpatient program typically includes a referral to outpatient counselling, connection to a mutual aid group (AA, NA, SMART Recovery), and—if available—a transitional housing placement. For the client described in the primary assignment, each of these presents significant barriers. He has no stable housing. He mistrusts authority figures and formal systems. He has limited social capital and fractured family relationships. His vocational skills (mechanical aptitude, problem-solving) are real but have been eroded by twenty years of substance use. He has no driver’s license. His PAWS symptoms will persist for months after discharge.</w:t>
      </w:r>
    </w:p>
    <w:p>
      <w:pPr>
        <w:spacing w:after="160" w:line="480"/>
        <w:ind w:firstLine="720"/>
      </w:pPr>
      <w:r>
        <w:rPr>
          <w:rFonts w:ascii="Times New Roman" w:cs="Times New Roman" w:eastAsia="Times New Roman" w:hAnsi="Times New Roman"/>
          <w:sz w:val="24"/>
          <w:szCs w:val="24"/>
        </w:rPr>
        <w:t xml:space="preserve">Gorski (2013) describes this as the most dangerous period in recovery: the transition from a high-structure environment to a low-structure environment where the individual’s internal regulation has not yet developed sufficiently to replace the external scaffolding. Marlatt and Donovan (2005) identify this transition as the period of highest relapse probability. The primary assignment addresses a weekend pass—a 48-hour preview of this cliff. The question this supplementary document asks is: what if the cliff did not exist?</w:t>
      </w:r>
    </w:p>
    <w:p>
      <w:pPr>
        <w:spacing w:after="160" w:before="240" w:line="480"/>
        <w:jc w:val="center"/>
      </w:pPr>
      <w:r>
        <w:rPr>
          <w:rFonts w:ascii="Times New Roman" w:cs="Times New Roman" w:eastAsia="Times New Roman" w:hAnsi="Times New Roman"/>
          <w:b/>
          <w:bCs/>
          <w:sz w:val="24"/>
          <w:szCs w:val="24"/>
        </w:rPr>
        <w:t xml:space="preserve">The Alternative: GSRT Earthworks as a Recovery Destination</w:t>
      </w:r>
    </w:p>
    <w:p>
      <w:pPr>
        <w:spacing w:after="160" w:line="480"/>
        <w:ind w:firstLine="720"/>
      </w:pPr>
      <w:r>
        <w:rPr>
          <w:rFonts w:ascii="Times New Roman" w:cs="Times New Roman" w:eastAsia="Times New Roman" w:hAnsi="Times New Roman"/>
          <w:sz w:val="24"/>
          <w:szCs w:val="24"/>
        </w:rPr>
        <w:t xml:space="preserve">GSRT Earthworks: Gaining Ground (Schwab, 2026) is a 200-person paid environmental restoration workforce currently being developed for a pilot on the Don River corridor in Ontario, operating from Newmarket to Toronto Harbour across 40 kilometres. It is designed as a recovery destination—not a program the client “attends” but a place the client belongs, with meaningful work, a wage, communal living, embedded clinical support, and a daily rhythm that delivers the same neurochemical cascade that substances provide, through productive channels.</w:t>
      </w:r>
    </w:p>
    <w:p>
      <w:pPr>
        <w:spacing w:after="160" w:line="480"/>
        <w:ind w:firstLine="720"/>
      </w:pPr>
      <w:r>
        <w:rPr>
          <w:rFonts w:ascii="Times New Roman" w:cs="Times New Roman" w:eastAsia="Times New Roman" w:hAnsi="Times New Roman"/>
          <w:sz w:val="24"/>
          <w:szCs w:val="24"/>
        </w:rPr>
        <w:t xml:space="preserve">For the SRPP client, discharge from inpatient treatment at Day 90 would transition directly into Earthworks onboarding. There is no gap. There is no cliff. The external regulatory scaffold continues, but now it includes purposeful employment, income, housing, peer community, and a pathway to leadership.</w:t>
      </w:r>
    </w:p>
    <w:p>
      <w:pPr>
        <w:spacing w:after="160" w:before="240" w:line="480"/>
      </w:pPr>
      <w:r>
        <w:rPr>
          <w:rFonts w:ascii="Times New Roman" w:cs="Times New Roman" w:eastAsia="Times New Roman" w:hAnsi="Times New Roman"/>
          <w:b/>
          <w:bCs/>
          <w:sz w:val="24"/>
          <w:szCs w:val="24"/>
        </w:rPr>
        <w:t xml:space="preserve">Onboarding: G.A.P.S. Between You and Me™</w:t>
      </w:r>
    </w:p>
    <w:p>
      <w:pPr>
        <w:spacing w:after="160" w:line="480"/>
        <w:ind w:firstLine="720"/>
      </w:pPr>
      <w:r>
        <w:rPr>
          <w:rFonts w:ascii="Times New Roman" w:cs="Times New Roman" w:eastAsia="Times New Roman" w:hAnsi="Times New Roman"/>
          <w:sz w:val="24"/>
          <w:szCs w:val="24"/>
        </w:rPr>
        <w:t xml:space="preserve">Every Earthworks participant enters through the G.A.P.S. Between You and Me™ onboarding protocol (Schwab, 2025)—the same 90-minute triage and stabilization process used in crisis settings, adapted for the Earthworks context. The RAFT snapshot (Roof, Addiction medical status, Fundamentals, Target) establishes the participant’s baseline and ensures immediate needs are addressed before any work assignment begins.</w:t>
      </w:r>
    </w:p>
    <w:p>
      <w:pPr>
        <w:spacing w:after="160" w:line="480"/>
        <w:ind w:firstLine="720"/>
      </w:pPr>
      <w:r>
        <w:rPr>
          <w:rFonts w:ascii="Times New Roman" w:cs="Times New Roman" w:eastAsia="Times New Roman" w:hAnsi="Times New Roman"/>
          <w:sz w:val="24"/>
          <w:szCs w:val="24"/>
        </w:rPr>
        <w:t xml:space="preserve">For this client, the RAFT would confirm: housing is now provided by the Earthworks camp (R resolved), addiction medical needs are managed through the embedded harm reduction float team (A addressed), fundamentals are met through communal meals and supplied gear (F resolved), and his self-identified target—likely autonomy, dignity, and something to do with his hands—becomes the compass for his node assignment and role development.</w:t>
      </w:r>
    </w:p>
    <w:p>
      <w:pPr>
        <w:spacing w:after="160" w:before="240" w:line="480"/>
      </w:pPr>
      <w:r>
        <w:rPr>
          <w:rFonts w:ascii="Times New Roman" w:cs="Times New Roman" w:eastAsia="Times New Roman" w:hAnsi="Times New Roman"/>
          <w:b/>
          <w:bCs/>
          <w:sz w:val="24"/>
          <w:szCs w:val="24"/>
        </w:rPr>
        <w:t xml:space="preserve">The Daily Rhythm: D.O.S.E. Neurochemistry Through Structure</w:t>
      </w:r>
    </w:p>
    <w:p>
      <w:pPr>
        <w:spacing w:after="160" w:line="480"/>
        <w:ind w:firstLine="720"/>
      </w:pPr>
      <w:r>
        <w:rPr>
          <w:rFonts w:ascii="Times New Roman" w:cs="Times New Roman" w:eastAsia="Times New Roman" w:hAnsi="Times New Roman"/>
          <w:sz w:val="24"/>
          <w:szCs w:val="24"/>
        </w:rPr>
        <w:t xml:space="preserve">The core thesis of the Earthworks model is that the D.O.S.E. neurochemical stack—Dopamine, Oxytocin, Serotonin, and Endorphins—delivered through purposeful work, communal meals, peer recognition, and physical exertion, is more compelling than substance addiction because it activates the same reward pathways through productive rather than destructive channels (Schwab, 2026). The daily rhythm is engineered to deliver all four neurochemicals in a predictable, repeating pattern that the participant’s nervous system can synchronize with.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560"/>
        <w:gridCol w:w="2200"/>
      </w:tblGrid>
      <w:tr>
        <w:tc>
          <w:tcPr>
            <w:tcW w:type="dxa" w:w="14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Time</w:t>
            </w:r>
          </w:p>
        </w:tc>
        <w:tc>
          <w:tcPr>
            <w:tcW w:type="dxa" w:w="3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Activity</w:t>
            </w:r>
          </w:p>
        </w:tc>
        <w:tc>
          <w:tcPr>
            <w:tcW w:type="dxa" w:w="256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G.A.P.S. Integration</w:t>
            </w:r>
          </w:p>
        </w:tc>
        <w:tc>
          <w:tcPr>
            <w:tcW w:type="dxa" w:w="220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D.O.S.E. Target</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06:30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Wake. Hygiene. Morning Chem Check (wristband: body tension, sleep quality, mood).</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Presence: first breath of the day is a Sacred Pause before feet hit ground.</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Serotonin (circadian regulation)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07:00–07:30</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Communal breakfast. High-protein, grounding foods. No phones at table. Table cards with recovery facts.</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Gratitude: one spoken appreciation before eating. Not performative—genuine.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Oxytocin (communal meal, eye contact, co-regulation)</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07:30–08:00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Beacon Huddle. Light check (1–10 scale). Pattern sharing. Buddy pair assignment for the day.</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Acceptance: “One pattern I noticed in myself yesterday.” Observer stance. No fixing.</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Oxytocin + Serotonin (peer witnessing, belonging)</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08:00–09:00</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Gear check. Safety brief. Travel to worksite. Controller confirms node assignments.</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Surrender: release yesterday’s frustrations at the trailhead. “The river doesn’t carry yesterday.”</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Dopamine (anticipation of purposeful task)</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09:00–12:00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Restoration work: debris clearance, invasive species removal, bank stabilization. Physical outdoor labour.</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Presence: body in the work. Somatic grounding through hands-in-dirt. Fish Bowl for intrusive thoughts.</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Dopamine (mastery, visible progress) + Endorphins (physical exertion)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12:00–12:30</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GTT Pulse (anonymous question via wristband). Lunch on site. Buddy debrief (5 min structured).</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Acceptance: anonymous pulse normalizes fluctuation. Buddy debrief: “What I noticed in myself today.”</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Oxytocin (buddy system) + Serotonin (rest, nourishment)</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12:30–15:00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Afternoon restoration block. DEEDSPROOF logging: metres cleared, tonnage, before/after photos.</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Gratitude: visible environmental transformation as living evidence that effort matters.</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Dopamine (completion, measurable impact) + Endorphins (sustained effort)</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15:00–16:00</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Shift end. Controller verifies hours (triggers payroll). Travel back to camp. Gear down.</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Surrender: transition from work identity to personal time. “The shift is done. You did enough.”</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Serotonin (task completion, rhythm)</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16:00–18:00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Free time. Anchor Kit study (self-directed). Recreation. Mechanical projects. Music. Rest.</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Filling G.A.P.S.: self-directed engagement with study guide, journal, practice cards.</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Dopamine (choice, autonomy) + Endorphins (recreation)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18:00–19:00</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Communal dinner. Prepared together. Colour-coded tribe tables (groups of 20) rotate weekly.</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Gratitude: shared meal as daily ritual. Tribe bonding through service (cooking, cleaning, setup).</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Oxytocin (tribal belonging, communal service)</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19:00–21:00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Campfire Slow Soak. Talking stone. Skits, theatre, music. Wisdom circles. Fish Bowl evening release.</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All four capacities in sequence: Gratitude (day’s wins) → Acceptance (day’s struggles) → Presence (campfire stillness) → Surrender (release before sleep).</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Oxytocin + Serotonin + Endorphins (laughter, music, fire, co-regulation)</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21:00</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Wind-down. One-line journal entry. Lights out.</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Presence: Sacred Pause as the last act of the day.</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Serotonin (melatonin cascade, sleep hygiene)</w:t>
            </w:r>
          </w:p>
        </w:tc>
      </w:tr>
    </w:tbl>
    <w:p>
      <w:pPr>
        <w:spacing w:after="200"/>
      </w:pPr>
    </w:p>
    <w:p>
      <w:pPr>
        <w:spacing w:after="160" w:before="240" w:line="480"/>
      </w:pPr>
      <w:r>
        <w:rPr>
          <w:rFonts w:ascii="Times New Roman" w:cs="Times New Roman" w:eastAsia="Times New Roman" w:hAnsi="Times New Roman"/>
          <w:b/>
          <w:bCs/>
          <w:sz w:val="24"/>
          <w:szCs w:val="24"/>
        </w:rPr>
        <w:t xml:space="preserve">Living Arrangements</w:t>
      </w:r>
    </w:p>
    <w:p>
      <w:pPr>
        <w:spacing w:after="160" w:line="480"/>
        <w:ind w:firstLine="720"/>
      </w:pPr>
      <w:r>
        <w:rPr>
          <w:rFonts w:ascii="Times New Roman" w:cs="Times New Roman" w:eastAsia="Times New Roman" w:hAnsi="Times New Roman"/>
          <w:sz w:val="24"/>
          <w:szCs w:val="24"/>
        </w:rPr>
        <w:t xml:space="preserve">Earthworks participants live in field camp accommodation at or near their assigned node along the Don River corridor. The camp provides:</w:t>
      </w:r>
    </w:p>
    <w:p>
      <w:pPr>
        <w:pStyle w:val="ListParagraph"/>
        <w:numPr>
          <w:ilvl w:val="0"/>
          <w:numId w:val="2"/>
        </w:numPr>
        <w:spacing w:after="80" w:line="360"/>
      </w:pPr>
      <w:r>
        <w:rPr>
          <w:rFonts w:ascii="Times New Roman" w:cs="Times New Roman" w:eastAsia="Times New Roman" w:hAnsi="Times New Roman"/>
          <w:sz w:val="22"/>
          <w:szCs w:val="22"/>
        </w:rPr>
        <w:t xml:space="preserve">Individual sleeping quarters within communal structures—privacy within community. Not dormitory-style open bunks, but partitioned spaces with a door that closes. Dignity is non-negotiable.</w:t>
      </w:r>
    </w:p>
    <w:p>
      <w:pPr>
        <w:pStyle w:val="ListParagraph"/>
        <w:numPr>
          <w:ilvl w:val="0"/>
          <w:numId w:val="2"/>
        </w:numPr>
        <w:spacing w:after="80" w:line="360"/>
      </w:pPr>
      <w:r>
        <w:rPr>
          <w:rFonts w:ascii="Times New Roman" w:cs="Times New Roman" w:eastAsia="Times New Roman" w:hAnsi="Times New Roman"/>
          <w:sz w:val="22"/>
          <w:szCs w:val="22"/>
        </w:rPr>
        <w:t xml:space="preserve">Shared kitchen and dining space where communal meals are prepared and eaten together. Cooking is a rotating duty shared by all—not performed by staff. The act of feeding each other is itself oxytocin delivery.</w:t>
      </w:r>
    </w:p>
    <w:p>
      <w:pPr>
        <w:pStyle w:val="ListParagraph"/>
        <w:numPr>
          <w:ilvl w:val="0"/>
          <w:numId w:val="2"/>
        </w:numPr>
        <w:spacing w:after="80" w:line="360"/>
      </w:pPr>
      <w:r>
        <w:rPr>
          <w:rFonts w:ascii="Times New Roman" w:cs="Times New Roman" w:eastAsia="Times New Roman" w:hAnsi="Times New Roman"/>
          <w:sz w:val="22"/>
          <w:szCs w:val="22"/>
        </w:rPr>
        <w:t xml:space="preserve">Campfire circle as the central gathering space. This is where the evening Slow Soak happens. It is sacred ground—no phones, no hierarchy, no performance.</w:t>
      </w:r>
    </w:p>
    <w:p>
      <w:pPr>
        <w:pStyle w:val="ListParagraph"/>
        <w:numPr>
          <w:ilvl w:val="0"/>
          <w:numId w:val="2"/>
        </w:numPr>
        <w:spacing w:after="80" w:line="360"/>
      </w:pPr>
      <w:r>
        <w:rPr>
          <w:rFonts w:ascii="Times New Roman" w:cs="Times New Roman" w:eastAsia="Times New Roman" w:hAnsi="Times New Roman"/>
          <w:sz w:val="22"/>
          <w:szCs w:val="22"/>
        </w:rPr>
        <w:t xml:space="preserve">Lockable personal storage for the Anchor Kit, journal, personal belongings. The participant owns their space.</w:t>
      </w:r>
    </w:p>
    <w:p>
      <w:pPr>
        <w:pStyle w:val="ListParagraph"/>
        <w:numPr>
          <w:ilvl w:val="0"/>
          <w:numId w:val="2"/>
        </w:numPr>
        <w:spacing w:after="80" w:line="360"/>
      </w:pPr>
      <w:r>
        <w:rPr>
          <w:rFonts w:ascii="Times New Roman" w:cs="Times New Roman" w:eastAsia="Times New Roman" w:hAnsi="Times New Roman"/>
          <w:sz w:val="22"/>
          <w:szCs w:val="22"/>
        </w:rPr>
        <w:t xml:space="preserve">Substance-free environment enforced through community agreement, not surveillance. Harm reduction, not prohibition—but the camp is dry.</w:t>
      </w:r>
    </w:p>
    <w:p>
      <w:pPr>
        <w:spacing w:after="160" w:line="480"/>
        <w:ind w:firstLine="720"/>
      </w:pPr>
      <w:r>
        <w:rPr>
          <w:rFonts w:ascii="Times New Roman" w:cs="Times New Roman" w:eastAsia="Times New Roman" w:hAnsi="Times New Roman"/>
          <w:sz w:val="24"/>
          <w:szCs w:val="24"/>
        </w:rPr>
        <w:t xml:space="preserve">For this client specifically, the camp resolves his most critical barrier: housing. He has a bed, a roof, a locked door, and a community—without needing to navigate a shelter intake, a waitlist, or a family dynamic that may not be safe.</w:t>
      </w:r>
    </w:p>
    <w:p>
      <w:pPr>
        <w:spacing w:after="160" w:before="240" w:line="480"/>
      </w:pPr>
      <w:r>
        <w:rPr>
          <w:rFonts w:ascii="Times New Roman" w:cs="Times New Roman" w:eastAsia="Times New Roman" w:hAnsi="Times New Roman"/>
          <w:b/>
          <w:bCs/>
          <w:sz w:val="24"/>
          <w:szCs w:val="24"/>
        </w:rPr>
        <w:t xml:space="preserve">Harm Reduction and Medical Triage</w:t>
      </w:r>
    </w:p>
    <w:p>
      <w:pPr>
        <w:spacing w:after="160" w:line="480"/>
        <w:ind w:firstLine="720"/>
      </w:pPr>
      <w:r>
        <w:rPr>
          <w:rFonts w:ascii="Times New Roman" w:cs="Times New Roman" w:eastAsia="Times New Roman" w:hAnsi="Times New Roman"/>
          <w:sz w:val="24"/>
          <w:szCs w:val="24"/>
        </w:rPr>
        <w:t xml:space="preserve">A harm reduction and medical triage float team moves between nodes along the corridor. This is not stationed at a desk waiting for people to come forward. It floats. It is visible. It is accessible without appointment, without paperwork, and without judgment.</w:t>
      </w:r>
    </w:p>
    <w:p>
      <w:pPr>
        <w:spacing w:after="160" w:line="480"/>
        <w:ind w:firstLine="720"/>
      </w:pPr>
      <w:r>
        <w:rPr>
          <w:rFonts w:ascii="Times New Roman" w:cs="Times New Roman" w:eastAsia="Times New Roman" w:hAnsi="Times New Roman"/>
          <w:sz w:val="24"/>
          <w:szCs w:val="24"/>
        </w:rPr>
        <w:t xml:space="preserve">For the SRPP client, the float team provides: ongoing PAWS symptom monitoring by trained workers familiar with Gorski’s (2013) post-acute withdrawal timeline; naloxone availability and overdose response capacity at every node; connection to RAAM (Rapid Access Addiction Medicine) clinics for any emerging medical need; and a warm handoff to CAMH (Centre for Addiction and Mental Health) if the participant’s needs exceed the scope of field-level support. The critical principle is that medical support comes to the participant, not the other way around. For a person with longstanding mistrust of systems, this inversion of the power dynamic is not a convenience—it is a clinical necessity.</w:t>
      </w:r>
    </w:p>
    <w:p>
      <w:pPr>
        <w:spacing w:after="160" w:before="240" w:line="480"/>
      </w:pPr>
      <w:r>
        <w:rPr>
          <w:rFonts w:ascii="Times New Roman" w:cs="Times New Roman" w:eastAsia="Times New Roman" w:hAnsi="Times New Roman"/>
          <w:b/>
          <w:bCs/>
          <w:sz w:val="24"/>
          <w:szCs w:val="24"/>
        </w:rPr>
        <w:t xml:space="preserve">Group Activities: Tribes, Campfire, and Community</w:t>
      </w:r>
    </w:p>
    <w:p>
      <w:pPr>
        <w:spacing w:after="160" w:line="480"/>
        <w:ind w:firstLine="720"/>
      </w:pPr>
      <w:r>
        <w:rPr>
          <w:rFonts w:ascii="Times New Roman" w:cs="Times New Roman" w:eastAsia="Times New Roman" w:hAnsi="Times New Roman"/>
          <w:sz w:val="24"/>
          <w:szCs w:val="24"/>
        </w:rPr>
        <w:t xml:space="preserve">Participants are organized into colour-coded tribes of approximately 20 people, composed of two or three 8+2 nodes. The tribe is the participant’s primary social unit—the people they eat with, work alongside, and sit with at the campfire. Tribes rotate weekly to prevent clique formation while still providing consistent belonging.</w:t>
      </w:r>
    </w:p>
    <w:p>
      <w:pPr>
        <w:spacing w:after="160" w:line="480"/>
        <w:ind w:firstLine="720"/>
      </w:pPr>
      <w:r>
        <w:rPr>
          <w:rFonts w:ascii="Times New Roman" w:cs="Times New Roman" w:eastAsia="Times New Roman" w:hAnsi="Times New Roman"/>
          <w:sz w:val="24"/>
          <w:szCs w:val="24"/>
        </w:rPr>
        <w:t xml:space="preserve">Evening campfire is the centrepiece of the Slow Soak delivery. It is not a “group therapy session.” It is a structured but informal gathering where participants engage in:</w:t>
      </w:r>
    </w:p>
    <w:p>
      <w:pPr>
        <w:pStyle w:val="ListParagraph"/>
        <w:numPr>
          <w:ilvl w:val="0"/>
          <w:numId w:val="2"/>
        </w:numPr>
        <w:spacing w:after="80" w:line="360"/>
      </w:pPr>
      <w:r>
        <w:rPr>
          <w:rFonts w:ascii="Times New Roman" w:cs="Times New Roman" w:eastAsia="Times New Roman" w:hAnsi="Times New Roman"/>
          <w:sz w:val="22"/>
          <w:szCs w:val="22"/>
        </w:rPr>
        <w:t xml:space="preserve">Talking stone circles: one person speaks, everyone listens. No cross-talk. No advice. Just witnessing.</w:t>
      </w:r>
    </w:p>
    <w:p>
      <w:pPr>
        <w:pStyle w:val="ListParagraph"/>
        <w:numPr>
          <w:ilvl w:val="0"/>
          <w:numId w:val="2"/>
        </w:numPr>
        <w:spacing w:after="80" w:line="360"/>
      </w:pPr>
      <w:r>
        <w:rPr>
          <w:rFonts w:ascii="Times New Roman" w:cs="Times New Roman" w:eastAsia="Times New Roman" w:hAnsi="Times New Roman"/>
          <w:sz w:val="22"/>
          <w:szCs w:val="22"/>
        </w:rPr>
        <w:t xml:space="preserve">Skits and theatre: tribes prepare short creative performances interpreting the week’s experiences. Humour is medicine. Laughter delivers endorphins and dissolves shame.</w:t>
      </w:r>
    </w:p>
    <w:p>
      <w:pPr>
        <w:pStyle w:val="ListParagraph"/>
        <w:numPr>
          <w:ilvl w:val="0"/>
          <w:numId w:val="2"/>
        </w:numPr>
        <w:spacing w:after="80" w:line="360"/>
      </w:pPr>
      <w:r>
        <w:rPr>
          <w:rFonts w:ascii="Times New Roman" w:cs="Times New Roman" w:eastAsia="Times New Roman" w:hAnsi="Times New Roman"/>
          <w:sz w:val="22"/>
          <w:szCs w:val="22"/>
        </w:rPr>
        <w:t xml:space="preserve">Music: instruments are available at every campfire. No skill required. Drumming circles, singing, and improvisation create shared rhythm—literally synchronizing nervous systems.</w:t>
      </w:r>
    </w:p>
    <w:p>
      <w:pPr>
        <w:pStyle w:val="ListParagraph"/>
        <w:numPr>
          <w:ilvl w:val="0"/>
          <w:numId w:val="2"/>
        </w:numPr>
        <w:spacing w:after="80" w:line="360"/>
      </w:pPr>
      <w:r>
        <w:rPr>
          <w:rFonts w:ascii="Times New Roman" w:cs="Times New Roman" w:eastAsia="Times New Roman" w:hAnsi="Times New Roman"/>
          <w:sz w:val="22"/>
          <w:szCs w:val="22"/>
        </w:rPr>
        <w:t xml:space="preserve">Wisdom circles: structured reflection questions posed around the fire. “What did the river teach you today?” “What did you see in your buddy that they can’t see in themselves?”</w:t>
      </w:r>
    </w:p>
    <w:p>
      <w:pPr>
        <w:pStyle w:val="ListParagraph"/>
        <w:numPr>
          <w:ilvl w:val="0"/>
          <w:numId w:val="2"/>
        </w:numPr>
        <w:spacing w:after="80" w:line="360"/>
      </w:pPr>
      <w:r>
        <w:rPr>
          <w:rFonts w:ascii="Times New Roman" w:cs="Times New Roman" w:eastAsia="Times New Roman" w:hAnsi="Times New Roman"/>
          <w:sz w:val="22"/>
          <w:szCs w:val="22"/>
        </w:rPr>
        <w:t xml:space="preserve">Fish Bowl evening release: the last act before bed. Name your fish. Watch them swim by. Close the day.</w:t>
      </w:r>
    </w:p>
    <w:p>
      <w:pPr>
        <w:spacing w:after="160" w:line="480"/>
        <w:ind w:firstLine="720"/>
      </w:pPr>
      <w:r>
        <w:rPr>
          <w:rFonts w:ascii="Times New Roman" w:cs="Times New Roman" w:eastAsia="Times New Roman" w:hAnsi="Times New Roman"/>
          <w:sz w:val="24"/>
          <w:szCs w:val="24"/>
        </w:rPr>
        <w:t xml:space="preserve">For the SRPP client, whose primary triggers include boredom, isolation, and interpersonal conflict, this communal structure addresses all three. He is never bored—there is always something to do, someone to be with, and a structured outlet for whatever he is carrying. He is never isolated—the buddy system, the tribe, and the campfire ensure daily human connection. And interpersonal conflict, when it arises, is processed through the Beacon Huddle and buddy debrief structures rather than escalating into the aggression patterns documented in his history.</w:t>
      </w:r>
    </w:p>
    <w:p>
      <w:pPr>
        <w:spacing w:after="160" w:before="240" w:line="480"/>
      </w:pPr>
      <w:r>
        <w:rPr>
          <w:rFonts w:ascii="Times New Roman" w:cs="Times New Roman" w:eastAsia="Times New Roman" w:hAnsi="Times New Roman"/>
          <w:b/>
          <w:bCs/>
          <w:sz w:val="24"/>
          <w:szCs w:val="24"/>
        </w:rPr>
        <w:t xml:space="preserve">The Anchor Kit as Portable Recovery Infrastructure</w:t>
      </w:r>
    </w:p>
    <w:p>
      <w:pPr>
        <w:spacing w:after="160" w:line="480"/>
        <w:ind w:firstLine="720"/>
      </w:pPr>
      <w:r>
        <w:rPr>
          <w:rFonts w:ascii="Times New Roman" w:cs="Times New Roman" w:eastAsia="Times New Roman" w:hAnsi="Times New Roman"/>
          <w:sz w:val="24"/>
          <w:szCs w:val="24"/>
        </w:rPr>
        <w:t xml:space="preserve">Every Earthworks participant receives the Filling G.A.P.S.™ kit—the Anchor Kit—on Day 1. It contains a seven-module personal study course, a journal, and four printable practice cards (Breath, Fish Bowl, Boundary, Micro-Rituals). The kit lives in their backpack. It goes where they go. It is theirs.</w:t>
      </w:r>
    </w:p>
    <w:p>
      <w:pPr>
        <w:spacing w:after="160" w:line="480"/>
        <w:ind w:firstLine="720"/>
      </w:pPr>
      <w:r>
        <w:rPr>
          <w:rFonts w:ascii="Times New Roman" w:cs="Times New Roman" w:eastAsia="Times New Roman" w:hAnsi="Times New Roman"/>
          <w:sz w:val="24"/>
          <w:szCs w:val="24"/>
        </w:rPr>
        <w:t xml:space="preserve">The study course is self-paced and self-directed. No one checks whether you completed Module 3. No one grades your journal. The free time block between 16:00 and 18:00 is when most participants engage with the kit, but it is never assigned or mandated. This is critical for the SRPP client, whose autonomy-authority conflict means that any tool perceived as an obligation will be resisted. The kit is offered, not prescribed. The Return Protocol built into the kit (Schwab, 2025) anticipates that the participant will put it down. The only instruction for re-entry is: open to wherever you left off, do one Sacred Pause, and write one line in the journal. That is enough.</w:t>
      </w:r>
    </w:p>
    <w:p>
      <w:pPr>
        <w:spacing w:after="160" w:before="240" w:line="480"/>
      </w:pPr>
      <w:r>
        <w:rPr>
          <w:rFonts w:ascii="Times New Roman" w:cs="Times New Roman" w:eastAsia="Times New Roman" w:hAnsi="Times New Roman"/>
          <w:b/>
          <w:bCs/>
          <w:sz w:val="24"/>
          <w:szCs w:val="24"/>
        </w:rPr>
        <w:t xml:space="preserve">PAWS Monitoring and the Interruption Framework</w:t>
      </w:r>
    </w:p>
    <w:p>
      <w:pPr>
        <w:spacing w:after="160" w:line="480"/>
        <w:ind w:firstLine="720"/>
      </w:pPr>
      <w:r>
        <w:rPr>
          <w:rFonts w:ascii="Times New Roman" w:cs="Times New Roman" w:eastAsia="Times New Roman" w:hAnsi="Times New Roman"/>
          <w:sz w:val="24"/>
          <w:szCs w:val="24"/>
        </w:rPr>
        <w:t xml:space="preserve">PAWS in the G.A.P.S.™ (Schwab, 2025) provides the longitudinal follow-up structure that standard aftercare typically lacks. Each participant has a PAWS timeline with scheduled check-ins managed by the Controller (the on-site node leader). The check-ins screen for Gorski’s (2013) 12 Blocks—the anticipated unconscious traps that precede relapse—and map G.A.P.S. interruption strategies to each Block.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Check-In Point</w:t>
            </w:r>
          </w:p>
        </w:tc>
        <w:tc>
          <w:tcPr>
            <w:tcW w:type="dxa" w:w="234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PAWS Focus</w:t>
            </w:r>
          </w:p>
        </w:tc>
        <w:tc>
          <w:tcPr>
            <w:tcW w:type="dxa" w:w="234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Blocks Screened</w:t>
            </w:r>
          </w:p>
        </w:tc>
        <w:tc>
          <w:tcPr>
            <w:tcW w:type="dxa" w:w="2340"/>
            <w:tcBorders>
              <w:top w:val="single" w:color="999999" w:sz="1"/>
              <w:left w:val="single" w:color="999999" w:sz="1"/>
              <w:bottom w:val="single" w:color="999999" w:sz="1"/>
              <w:right w:val="single" w:color="999999" w:sz="1"/>
            </w:tcBorders>
            <w:shd w:fill="2C3E50" w:val="clear"/>
            <w:tcMar>
              <w:top w:type="dxa" w:w="60"/>
              <w:left w:type="dxa" w:w="100"/>
              <w:bottom w:type="dxa" w:w="60"/>
              <w:right w:type="dxa" w:w="100"/>
            </w:tcMar>
            <w:vAlign w:val="center"/>
          </w:tcPr>
          <w:p>
            <w:pPr>
              <w:spacing w:after="0"/>
              <w:jc w:val="center"/>
            </w:pPr>
            <w:r>
              <w:rPr>
                <w:rFonts w:ascii="Times New Roman" w:cs="Times New Roman" w:eastAsia="Times New Roman" w:hAnsi="Times New Roman"/>
                <w:b/>
                <w:bCs/>
                <w:color w:val="FFFFFF"/>
                <w:sz w:val="20"/>
                <w:szCs w:val="20"/>
              </w:rPr>
              <w:t xml:space="preserve">G.A.P.S. Tool</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Day 7 (intake)</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Acute withdrawal stabilization; baseline chem check</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Block 1–3 (denial, avoidance, crisis building)</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Sacred Pause; RAFT snapshot</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Day 14</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Sleep architecture; fatigue management</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Block 4–5 (immobilization, confusion)</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Fish Bowl for racing thoughts; Rule of One</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Day 30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Emotional lability; frustration tolerance</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Block 6–8 (irritability, depression, isolation)</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Boundary scripts; co-regulation (buddy debrief)</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Day 60</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Cognitive clarity returning; overconfidence risk</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Block 9–10 (loss of routine, overconfidence)</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Anchor Journal; campfire accountability</w:t>
            </w:r>
          </w:p>
        </w:tc>
      </w:tr>
      <w:tr>
        <w:tc>
          <w:tcPr>
            <w:tcW w:type="dxa" w:w="14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Day 90</w:t>
            </w:r>
          </w:p>
        </w:tc>
        <w:tc>
          <w:tcPr>
            <w:tcW w:type="dxa" w:w="3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Publishable measurement point (ProQOL, PSS, BAT, SAF, OCI)</w:t>
            </w:r>
          </w:p>
        </w:tc>
        <w:tc>
          <w:tcPr>
            <w:tcW w:type="dxa" w:w="256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All 12 Blocks reviewed</w:t>
            </w:r>
          </w:p>
        </w:tc>
        <w:tc>
          <w:tcPr>
            <w:tcW w:type="dxa" w:w="2200"/>
            <w:tcBorders>
              <w:top w:val="single" w:color="999999" w:sz="1"/>
              <w:left w:val="single" w:color="999999" w:sz="1"/>
              <w:bottom w:val="single" w:color="999999" w:sz="1"/>
              <w:right w:val="single" w:color="999999" w:sz="1"/>
            </w:tcBorders>
            <w:shd w:fill="F5F6FA"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Gifts From The G.A.P.S. (reframe any slips as data)</w:t>
            </w:r>
          </w:p>
        </w:tc>
      </w:tr>
      <w:tr>
        <w:tc>
          <w:tcPr>
            <w:tcW w:type="dxa" w:w="14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6 months</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Long-term integration; employment transition readiness</w:t>
            </w:r>
          </w:p>
        </w:tc>
        <w:tc>
          <w:tcPr>
            <w:tcW w:type="dxa" w:w="25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Block 11–12 (complacency, external triggers)</w:t>
            </w:r>
          </w:p>
        </w:tc>
        <w:tc>
          <w:tcPr>
            <w:tcW w:type="dxa" w:w="2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spacing w:after="0"/>
            </w:pPr>
            <w:r>
              <w:rPr>
                <w:rFonts w:ascii="Times New Roman" w:cs="Times New Roman" w:eastAsia="Times New Roman" w:hAnsi="Times New Roman"/>
                <w:sz w:val="20"/>
                <w:szCs w:val="20"/>
              </w:rPr>
              <w:t xml:space="preserve">Keeper’s Manual; Controller candidacy assessment</w:t>
            </w:r>
          </w:p>
        </w:tc>
      </w:tr>
    </w:tbl>
    <w:p>
      <w:pPr>
        <w:spacing w:after="200"/>
      </w:pPr>
    </w:p>
    <w:p>
      <w:pPr>
        <w:spacing w:after="160" w:line="480"/>
        <w:ind w:firstLine="720"/>
      </w:pPr>
      <w:r>
        <w:rPr>
          <w:rFonts w:ascii="Times New Roman" w:cs="Times New Roman" w:eastAsia="Times New Roman" w:hAnsi="Times New Roman"/>
          <w:sz w:val="24"/>
          <w:szCs w:val="24"/>
        </w:rPr>
        <w:t xml:space="preserve">The Day 90 measurement point is clinically significant because sustained improvement at 90 days reflects genuine neurological change rather than temporary motivation (Gorski, 2013). At Earthworks, this data is collected using five validated instruments: ProQOL, PSS, BAT, SAF™, and OCI™ (Schwab, 2025). This data is publishable, auditable, and designed to earn the next funding cycle based on evidence, not narrative.</w:t>
      </w:r>
    </w:p>
    <w:p>
      <w:pPr>
        <w:spacing w:after="160" w:before="240" w:line="480"/>
      </w:pPr>
      <w:r>
        <w:rPr>
          <w:rFonts w:ascii="Times New Roman" w:cs="Times New Roman" w:eastAsia="Times New Roman" w:hAnsi="Times New Roman"/>
          <w:b/>
          <w:bCs/>
          <w:sz w:val="24"/>
          <w:szCs w:val="24"/>
        </w:rPr>
        <w:t xml:space="preserve">The Slow Soak: Identity Shift Over Time</w:t>
      </w:r>
    </w:p>
    <w:p>
      <w:pPr>
        <w:spacing w:after="160" w:line="480"/>
        <w:ind w:firstLine="720"/>
      </w:pPr>
      <w:r>
        <w:rPr>
          <w:rFonts w:ascii="Times New Roman" w:cs="Times New Roman" w:eastAsia="Times New Roman" w:hAnsi="Times New Roman"/>
          <w:sz w:val="24"/>
          <w:szCs w:val="24"/>
        </w:rPr>
        <w:t xml:space="preserve">The Exploring Our G.A.P.S.™ Slow Soak curriculum (Schwab, 2025) is embedded in the Earthworks daily rhythm as a 12-month practitioner resilience program delivered at a pace of one concept per week. It progresses through three tiers:</w:t>
      </w:r>
    </w:p>
    <w:p>
      <w:pPr>
        <w:pStyle w:val="ListParagraph"/>
        <w:numPr>
          <w:ilvl w:val="0"/>
          <w:numId w:val="2"/>
        </w:numPr>
        <w:spacing w:after="80" w:line="360"/>
      </w:pPr>
      <w:r>
        <w:rPr>
          <w:rFonts w:ascii="Times New Roman" w:cs="Times New Roman" w:eastAsia="Times New Roman" w:hAnsi="Times New Roman"/>
          <w:sz w:val="22"/>
          <w:szCs w:val="22"/>
        </w:rPr>
        <w:t xml:space="preserve">Tier 1 (Months 1–4): Foundation. Nervous system literacy, the Fish Bowl Method, the Sacred Pause, schema awareness, boundary basics, daily micro-rituals.</w:t>
      </w:r>
    </w:p>
    <w:p>
      <w:pPr>
        <w:pStyle w:val="ListParagraph"/>
        <w:numPr>
          <w:ilvl w:val="0"/>
          <w:numId w:val="2"/>
        </w:numPr>
        <w:spacing w:after="80" w:line="360"/>
      </w:pPr>
      <w:r>
        <w:rPr>
          <w:rFonts w:ascii="Times New Roman" w:cs="Times New Roman" w:eastAsia="Times New Roman" w:hAnsi="Times New Roman"/>
          <w:sz w:val="22"/>
          <w:szCs w:val="22"/>
        </w:rPr>
        <w:t xml:space="preserve">Tier 2 (Months 5–8): The Light. Trauma pattern recognition, conscious communication, alchemy (reframing struggles as wisdom), fair exchange systems, energy management.</w:t>
      </w:r>
    </w:p>
    <w:p>
      <w:pPr>
        <w:pStyle w:val="ListParagraph"/>
        <w:numPr>
          <w:ilvl w:val="0"/>
          <w:numId w:val="2"/>
        </w:numPr>
        <w:spacing w:after="80" w:line="360"/>
      </w:pPr>
      <w:r>
        <w:rPr>
          <w:rFonts w:ascii="Times New Roman" w:cs="Times New Roman" w:eastAsia="Times New Roman" w:hAnsi="Times New Roman"/>
          <w:sz w:val="22"/>
          <w:szCs w:val="22"/>
        </w:rPr>
        <w:t xml:space="preserve">Tier 3 (Months 9–12): The Beacon Network. Leadership, mentorship, systemic thinking. The participant is no longer a rescue boat—they are a lighthouse. Best performers become Controllers at new city nodes.</w:t>
      </w:r>
    </w:p>
    <w:p>
      <w:pPr>
        <w:spacing w:after="160" w:line="480"/>
        <w:ind w:firstLine="720"/>
      </w:pPr>
      <w:r>
        <w:rPr>
          <w:rFonts w:ascii="Times New Roman" w:cs="Times New Roman" w:eastAsia="Times New Roman" w:hAnsi="Times New Roman"/>
          <w:sz w:val="24"/>
          <w:szCs w:val="24"/>
        </w:rPr>
        <w:t xml:space="preserve">For the SRPP client, this is the missing piece that standard aftercare does not provide: a trajectory. He is not just “in recovery.” He is moving through a structured progression toward a role, a title, and a leadership identity that is incompatible with the identity that sustained his substance use for twenty years. By Month 9, if he is still engaged, the question is no longer “Will he relapse?” but “What kind of leader is he becoming?”</w:t>
      </w:r>
    </w:p>
    <w:p>
      <w:r>
        <w:br w:type="page"/>
      </w:r>
    </w:p>
    <w:p>
      <w:pPr>
        <w:spacing w:after="160" w:before="240" w:line="480"/>
        <w:jc w:val="center"/>
      </w:pPr>
      <w:r>
        <w:rPr>
          <w:rFonts w:ascii="Times New Roman" w:cs="Times New Roman" w:eastAsia="Times New Roman" w:hAnsi="Times New Roman"/>
          <w:b/>
          <w:bCs/>
          <w:sz w:val="24"/>
          <w:szCs w:val="24"/>
        </w:rPr>
        <w:t xml:space="preserve">Personal Reflection: Why I Built This</w:t>
      </w:r>
    </w:p>
    <w:p>
      <w:pPr>
        <w:spacing w:after="160" w:line="480"/>
        <w:ind w:firstLine="720"/>
      </w:pPr>
      <w:r>
        <w:rPr>
          <w:rFonts w:ascii="Times New Roman" w:cs="Times New Roman" w:eastAsia="Times New Roman" w:hAnsi="Times New Roman"/>
          <w:sz w:val="24"/>
          <w:szCs w:val="24"/>
        </w:rPr>
        <w:t xml:space="preserve">What follows is my personal opinion, informed by the course content and by several years of independent research and development in this space.</w:t>
      </w:r>
    </w:p>
    <w:p>
      <w:pPr>
        <w:spacing w:after="160" w:line="480"/>
        <w:ind w:firstLine="720"/>
      </w:pPr>
      <w:r>
        <w:rPr>
          <w:rFonts w:ascii="Times New Roman" w:cs="Times New Roman" w:eastAsia="Times New Roman" w:hAnsi="Times New Roman"/>
          <w:sz w:val="24"/>
          <w:szCs w:val="24"/>
        </w:rPr>
        <w:t xml:space="preserve">The standard addiction aftercare model is not failing because the people delivering it are incompetent. It is failing because it asks people to maintain recovery in the same environment, with the same people, facing the same triggers, using the same depleted internal resources—with nothing new added except a phone number for a counsellor and a meeting schedule. For someone like the client in this assignment, that is not a plan. That is a hope.</w:t>
      </w:r>
    </w:p>
    <w:p>
      <w:pPr>
        <w:spacing w:after="160" w:line="480"/>
        <w:ind w:firstLine="720"/>
      </w:pPr>
      <w:r>
        <w:rPr>
          <w:rFonts w:ascii="Times New Roman" w:cs="Times New Roman" w:eastAsia="Times New Roman" w:hAnsi="Times New Roman"/>
          <w:sz w:val="24"/>
          <w:szCs w:val="24"/>
        </w:rPr>
        <w:t xml:space="preserve">Gorski (2013) is clear that relapse prevention must be structural, not aspirational. The CENAPS model describes relapse as a process that can be interrupted at predictable stages with predictable interventions. What Gorski does not fully address—because it was not the scope of his work—is what happens when the entire environment is the intervention. When the structure is not a worksheet or a weekend planner but a life: a job, a meal, a community, a campfire, a purpose, a wage, a buddy, a rhythm that the nervous system can entrain to.</w:t>
      </w:r>
    </w:p>
    <w:p>
      <w:pPr>
        <w:spacing w:after="160" w:line="480"/>
        <w:ind w:firstLine="720"/>
      </w:pPr>
      <w:r>
        <w:rPr>
          <w:rFonts w:ascii="Times New Roman" w:cs="Times New Roman" w:eastAsia="Times New Roman" w:hAnsi="Times New Roman"/>
          <w:sz w:val="24"/>
          <w:szCs w:val="24"/>
        </w:rPr>
        <w:t xml:space="preserve">The D.O.S.E. thesis is not original to me—the neurochemistry of reward is well-established in addiction science. What I am proposing is that we stop trying to compete with substances using words and start competing with substances using the same delivery mechanism: neurochemistry. Dopamine through mastery and visible progress. Oxytocin through communal meals and peer witnessing. Serotonin through predictable rhythm and recognition. Endorphins through physical exertion in nature. These are not metaphors. They are measurable, and the Earthworks model is designed to measure them.</w:t>
      </w:r>
    </w:p>
    <w:p>
      <w:pPr>
        <w:spacing w:after="160" w:line="480"/>
        <w:ind w:firstLine="720"/>
      </w:pPr>
      <w:r>
        <w:rPr>
          <w:rFonts w:ascii="Times New Roman" w:cs="Times New Roman" w:eastAsia="Times New Roman" w:hAnsi="Times New Roman"/>
          <w:sz w:val="24"/>
          <w:szCs w:val="24"/>
        </w:rPr>
        <w:t xml:space="preserve">The client in this assignment has mechanical aptitude, problem-solving skills, and twenty years of survival in conditions that would have broken most people. He is not broken. He is tangled. The system that untangles him needs to be as compelling as the one that tangled him. A referral to outpatient counselling is not compelling. A seat at a campfire after a day of restoring a river, with a paycheque coming Friday and people who know your name—that is compelling.</w:t>
      </w:r>
    </w:p>
    <w:p>
      <w:pPr>
        <w:spacing w:after="160" w:line="480"/>
        <w:ind w:firstLine="720"/>
      </w:pPr>
      <w:r>
        <w:rPr>
          <w:rFonts w:ascii="Times New Roman" w:cs="Times New Roman" w:eastAsia="Times New Roman" w:hAnsi="Times New Roman"/>
          <w:sz w:val="24"/>
          <w:szCs w:val="24"/>
        </w:rPr>
        <w:t xml:space="preserve">I do not expect this supplementary submission to replace the primary assignment. I submit it because I believe the question “What comes after inpatient?” deserves a better answer than what currently exists, and because the framework to provide that answer is being built.</w:t>
      </w:r>
    </w:p>
    <w:p>
      <w:r>
        <w:br w:type="page"/>
      </w:r>
    </w:p>
    <w:p>
      <w:pPr>
        <w:spacing w:after="160" w:before="240" w:line="480"/>
        <w:jc w:val="center"/>
      </w:pPr>
      <w:r>
        <w:rPr>
          <w:rFonts w:ascii="Times New Roman" w:cs="Times New Roman" w:eastAsia="Times New Roman" w:hAnsi="Times New Roman"/>
          <w:b/>
          <w:bCs/>
          <w:sz w:val="24"/>
          <w:szCs w:val="24"/>
        </w:rPr>
        <w:t xml:space="preserve">References</w:t>
      </w:r>
    </w:p>
    <w:p>
      <w:pPr>
        <w:spacing w:after="160" w:line="480"/>
        <w:ind w:hanging="720"/>
      </w:pPr>
      <w:r>
        <w:rPr>
          <w:rFonts w:ascii="Times New Roman" w:cs="Times New Roman" w:eastAsia="Times New Roman" w:hAnsi="Times New Roman"/>
          <w:sz w:val="24"/>
          <w:szCs w:val="24"/>
        </w:rPr>
        <w:t xml:space="preserve">Gorski, T. T. (2013). Staying sober: A guide for relapse prevention. Independence Press.</w:t>
      </w:r>
    </w:p>
    <w:p>
      <w:pPr>
        <w:spacing w:after="160" w:line="480"/>
        <w:ind w:hanging="720"/>
      </w:pPr>
      <w:r>
        <w:rPr>
          <w:rFonts w:ascii="Times New Roman" w:cs="Times New Roman" w:eastAsia="Times New Roman" w:hAnsi="Times New Roman"/>
          <w:sz w:val="24"/>
          <w:szCs w:val="24"/>
        </w:rPr>
        <w:t xml:space="preserve">Marlatt, G. A., &amp; Donovan, D. M. (Eds.). (2005). Relapse prevention: Maintenance strategies in the treatment of addictive behaviors (2nd ed.). Guilford Press.</w:t>
      </w:r>
    </w:p>
    <w:p>
      <w:pPr>
        <w:spacing w:after="160" w:line="480"/>
        <w:ind w:hanging="720"/>
      </w:pPr>
      <w:r>
        <w:rPr>
          <w:rFonts w:ascii="Times New Roman" w:cs="Times New Roman" w:eastAsia="Times New Roman" w:hAnsi="Times New Roman"/>
          <w:sz w:val="24"/>
          <w:szCs w:val="24"/>
        </w:rPr>
        <w:t xml:space="preserve">Prochaska, J. O., &amp; DiClemente, C. C. (1983). Stages and processes of self-change of smoking: Toward an integrative model of change. Journal of Consulting and Clinical Psychology, 51(3), 390–395. https://doi.org/10.1037/0022-006X.51.3.390</w:t>
      </w:r>
    </w:p>
    <w:p>
      <w:pPr>
        <w:spacing w:after="160" w:line="480"/>
        <w:ind w:hanging="720"/>
      </w:pPr>
      <w:r>
        <w:rPr>
          <w:rFonts w:ascii="Times New Roman" w:cs="Times New Roman" w:eastAsia="Times New Roman" w:hAnsi="Times New Roman"/>
          <w:sz w:val="24"/>
          <w:szCs w:val="24"/>
        </w:rPr>
        <w:t xml:space="preserve">Schwab, N. J. (2025). G.A.P.S. by HALO: System architecture overview [Unpublished manuscript]. HALO Group of Companies.</w:t>
      </w:r>
    </w:p>
    <w:p>
      <w:pPr>
        <w:spacing w:after="160" w:line="480"/>
        <w:ind w:hanging="720"/>
      </w:pPr>
      <w:r>
        <w:rPr>
          <w:rFonts w:ascii="Times New Roman" w:cs="Times New Roman" w:eastAsia="Times New Roman" w:hAnsi="Times New Roman"/>
          <w:sz w:val="24"/>
          <w:szCs w:val="24"/>
        </w:rPr>
        <w:t xml:space="preserve">Schwab, N. J. (2026). GSRT Earthworks: Gaining Ground—Don River pilot proposal [Unpublished manuscript]. HALO Group of Companies.</w:t>
      </w:r>
    </w:p>
    <w:p>
      <w:r>
        <w:br w:type="page"/>
      </w:r>
    </w:p>
    <w:p>
      <w:pPr>
        <w:spacing w:after="160" w:before="240" w:line="480"/>
        <w:jc w:val="center"/>
      </w:pPr>
      <w:r>
        <w:rPr>
          <w:rFonts w:ascii="Times New Roman" w:cs="Times New Roman" w:eastAsia="Times New Roman" w:hAnsi="Times New Roman"/>
          <w:b/>
          <w:bCs/>
          <w:sz w:val="24"/>
          <w:szCs w:val="24"/>
        </w:rPr>
        <w:t xml:space="preserve">AI Use Disclosure</w:t>
      </w:r>
    </w:p>
    <w:p>
      <w:pPr>
        <w:spacing w:after="160" w:line="480"/>
        <w:ind w:firstLine="720"/>
      </w:pPr>
      <w:r>
        <w:rPr>
          <w:rFonts w:ascii="Times New Roman" w:cs="Times New Roman" w:eastAsia="Times New Roman" w:hAnsi="Times New Roman"/>
          <w:sz w:val="24"/>
          <w:szCs w:val="24"/>
        </w:rPr>
        <w:t xml:space="preserve">Generative AI (Claude, Anthropic) was used in this supplementary document for formatting, structural organization, and polishing of content originally authored by the student. The GSRT Earthworks framework, D.O.S.E. thesis, G.A.P.S. practice architecture, daily rhythm design, and personal reflection are the original intellectual work of Neil J. Schwab. AI was not used to generate clinical reasoning or program design. Prompt example: “Format my alternative aftercare pathway proposal to match APA 7th edition requirements.”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ALTERNATIVE AFTERCARE PATHWAY</w:t>
    </w:r>
    <w: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2026-04-06T10:44:43.147Z</dcterms:created>
  <dcterms:modified xsi:type="dcterms:W3CDTF">2026-04-06T10:44:43.148Z</dcterms:modified>
</cp:coreProperties>
</file>

<file path=docProps/custom.xml><?xml version="1.0" encoding="utf-8"?>
<Properties xmlns="http://schemas.openxmlformats.org/officeDocument/2006/custom-properties" xmlns:vt="http://schemas.openxmlformats.org/officeDocument/2006/docPropsVTypes"/>
</file>