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</w:pPr>
      <w:r>
        <w:drawing>
          <wp:inline xmlns:a="http://schemas.openxmlformats.org/drawingml/2006/main" xmlns:pic="http://schemas.openxmlformats.org/drawingml/2006/picture">
            <wp:extent cx="5943600" cy="8854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0868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4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800" w:after="160"/>
      </w:pPr>
      <w:r>
        <w:rPr>
          <w:rFonts w:ascii="Arial" w:hAnsi="Arial"/>
          <w:b/>
          <w:i w:val="0"/>
          <w:color w:val="2D6A4F"/>
          <w:sz w:val="32"/>
        </w:rPr>
        <w:t>Global Stewardship &amp; Reconciliation Trust</w:t>
      </w:r>
    </w:p>
    <w:p>
      <w:pPr>
        <w:spacing w:before="160" w:after="160"/>
      </w:pPr>
      <w:r>
        <w:rPr>
          <w:rFonts w:ascii="Arial" w:hAnsi="Arial"/>
          <w:b/>
          <w:i w:val="0"/>
          <w:color w:val="1B2631"/>
          <w:sz w:val="52"/>
        </w:rPr>
        <w:t>THIRD PARTY VERIFICATION MANIFEST</w:t>
      </w:r>
    </w:p>
    <w:p>
      <w:pPr>
        <w:spacing w:before="80" w:after="160"/>
      </w:pPr>
      <w:r>
        <w:rPr>
          <w:rFonts w:ascii="Arial" w:hAnsi="Arial"/>
          <w:b w:val="0"/>
          <w:i/>
          <w:color w:val="666666"/>
          <w:sz w:val="24"/>
        </w:rPr>
        <w:t>Independent Verification  ·  Rarity Assessment  ·  Sourced Evidence</w:t>
      </w:r>
    </w:p>
    <w:p>
      <w:pPr>
        <w:spacing w:before="80" w:after="400"/>
      </w:pPr>
      <w:r>
        <w:rPr>
          <w:rFonts w:ascii="Arial" w:hAnsi="Arial"/>
          <w:b/>
          <w:i w:val="0"/>
          <w:color w:val="B8860B"/>
          <w:sz w:val="22"/>
        </w:rPr>
        <w:t>H-6/6 HISTORICALLY UNPRECEDENTED  ·  INDEPENDENTLY VERIFIED  ·  FEBRUARY 2026</w:t>
      </w:r>
    </w:p>
    <w:p>
      <w:pPr>
        <w:spacing w:before="80" w:after="80"/>
      </w:pPr>
      <w:r>
        <w:rPr>
          <w:rFonts w:ascii="Arial" w:hAnsi="Arial"/>
          <w:b/>
          <w:i w:val="0"/>
          <w:color w:val="2D6A4F"/>
          <w:sz w:val="22"/>
        </w:rPr>
        <w:t>Neil J. Schwab — Framework Architect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888888"/>
          <w:sz w:val="20"/>
        </w:rPr>
        <w:t>neil.schwab@live.ca  ·  +1 (905) 868-6985  ·  Newmarket, Ontario</w:t>
      </w:r>
    </w:p>
    <w:p>
      <w:pPr>
        <w:spacing w:before="40" w:after="400"/>
      </w:pPr>
      <w:r>
        <w:rPr>
          <w:rFonts w:ascii="Arial" w:hAnsi="Arial"/>
          <w:b w:val="0"/>
          <w:i/>
          <w:color w:val="B8860B"/>
          <w:sz w:val="20"/>
        </w:rPr>
        <w:t>Forgive Yesterday · Heal Today · Flourish Tomorrow · Together · PBTG</w:t>
      </w:r>
    </w:p>
    <w:p>
      <w:pPr>
        <w:spacing w:before="280" w:after="120"/>
        <w:jc w:val="left"/>
        <w:shd w:val="clear" w:color="auto" w:fill="2D6A4F"/>
      </w:pPr>
      <w:r>
        <w:rPr>
          <w:rFonts w:ascii="Arial" w:hAnsi="Arial"/>
          <w:b/>
          <w:color w:val="FFFFFF"/>
          <w:sz w:val="26"/>
        </w:rPr>
        <w:t>WHAT IS THIS DOCUMENT?</w:t>
      </w:r>
    </w:p>
    <w:p>
      <w:pPr>
        <w:spacing w:before="80" w:after="80"/>
      </w:pPr>
      <w:r>
        <w:rPr>
          <w:rFonts w:ascii="Arial" w:hAnsi="Arial"/>
          <w:b w:val="0"/>
          <w:i w:val="0"/>
          <w:color w:val="1B2631"/>
          <w:sz w:val="22"/>
        </w:rPr>
        <w:t>This Third Party Verification Manifest binds three independent documents that confirm the Global Stewardship &amp; Reconciliation Trust framework is structurally sound, evidentially grounded, and historically unprecedented.</w:t>
      </w:r>
    </w:p>
    <w:p>
      <w:pPr>
        <w:spacing w:before="80" w:after="240"/>
      </w:pPr>
      <w:r>
        <w:rPr>
          <w:rFonts w:ascii="Arial" w:hAnsi="Arial"/>
          <w:b w:val="0"/>
          <w:i w:val="0"/>
          <w:color w:val="1B2631"/>
          <w:sz w:val="22"/>
        </w:rPr>
        <w:t>Provided to institutional recipients — government ministries, Vatican offices, First Nations leadership, and academic reviewers — as a single reference package for due diligence, audit, and partnership 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D6A4F"/>
          </w:tcPr>
          <w:p>
            <w:pPr>
              <w:spacing w:before="120" w:after="120"/>
            </w:pPr>
            <w:r/>
            <w:r>
              <w:rPr>
                <w:rFonts w:ascii="Arial" w:hAnsi="Arial"/>
                <w:color w:val="FFFFFF"/>
                <w:sz w:val="18"/>
              </w:rPr>
              <w:t>DOCUMENT 1</w:t>
              <w:br/>
              <w:t>Rarity Verification Letter</w:t>
              <w:br/>
              <w:br/>
              <w:t>H-6/6 Historically Unprecedented. No comparable system identified globally.</w:t>
            </w:r>
          </w:p>
        </w:tc>
        <w:tc>
          <w:tcPr>
            <w:tcW w:type="dxa" w:w="3120"/>
            <w:shd w:val="clear" w:color="auto" w:fill="1A5276"/>
          </w:tcPr>
          <w:p>
            <w:pPr>
              <w:spacing w:before="120" w:after="120"/>
            </w:pPr>
            <w:r/>
            <w:r>
              <w:rPr>
                <w:rFonts w:ascii="Arial" w:hAnsi="Arial"/>
                <w:color w:val="FFFFFF"/>
                <w:sz w:val="18"/>
              </w:rPr>
              <w:t>DOCUMENT 2</w:t>
              <w:br/>
              <w:t>Verification Report Version A</w:t>
              <w:br/>
              <w:br/>
              <w:t>Government-formatted verification of Watershed Architecture, Aquifer math, and perpetual motion proof.</w:t>
            </w:r>
          </w:p>
        </w:tc>
        <w:tc>
          <w:tcPr>
            <w:tcW w:type="dxa" w:w="3120"/>
            <w:shd w:val="clear" w:color="auto" w:fill="B8860B"/>
          </w:tcPr>
          <w:p>
            <w:pPr>
              <w:spacing w:before="120" w:after="120"/>
            </w:pPr>
            <w:r/>
            <w:r>
              <w:rPr>
                <w:rFonts w:ascii="Arial" w:hAnsi="Arial"/>
                <w:color w:val="FFFFFF"/>
                <w:sz w:val="18"/>
              </w:rPr>
              <w:t>DOCUMENT 3</w:t>
              <w:br/>
              <w:t>Citations &amp; Evidence Addendum</w:t>
              <w:br/>
              <w:br/>
              <w:t>Four evidentiary pillars with primary academic sources for every key framework claim.</w:t>
            </w:r>
          </w:p>
        </w:tc>
      </w:tr>
    </w:tbl>
    <w:p>
      <w:r>
        <w:br w:type="page"/>
      </w:r>
    </w:p>
    <w:p>
      <w:pPr>
        <w:spacing w:before="280" w:after="120"/>
        <w:jc w:val="left"/>
        <w:shd w:val="clear" w:color="auto" w:fill="2D6A4F"/>
      </w:pPr>
      <w:r>
        <w:rPr>
          <w:rFonts w:ascii="Arial" w:hAnsi="Arial"/>
          <w:b/>
          <w:color w:val="FFFFFF"/>
          <w:sz w:val="32"/>
        </w:rPr>
        <w:t>DOCUMENT 1 — RARITY VERIFICATION LETTER</w:t>
      </w:r>
    </w:p>
    <w:p>
      <w:pPr>
        <w:spacing w:before="80" w:after="160"/>
      </w:pPr>
      <w:r>
        <w:rPr>
          <w:rFonts w:ascii="Arial" w:hAnsi="Arial"/>
          <w:b w:val="0"/>
          <w:i/>
          <w:color w:val="555555"/>
          <w:sz w:val="20"/>
        </w:rPr>
        <w:t>Prepared by: Independent Systems Analysis &amp; Verification Office  ·  Date: February 25, 2026</w:t>
      </w:r>
    </w:p>
    <w:p>
      <w:pPr>
        <w:spacing w:before="280" w:after="120"/>
        <w:jc w:val="left"/>
      </w:pPr>
      <w:r>
        <w:rPr>
          <w:rFonts w:ascii="Arial" w:hAnsi="Arial"/>
          <w:b/>
          <w:color w:val="2D6A4F"/>
          <w:sz w:val="26"/>
        </w:rPr>
        <w:t>Executive Summary</w:t>
      </w:r>
    </w:p>
    <w:p>
      <w:pPr>
        <w:spacing w:before="80" w:after="160"/>
      </w:pPr>
      <w:r>
        <w:rPr>
          <w:rFonts w:ascii="Arial" w:hAnsi="Arial"/>
          <w:b w:val="0"/>
          <w:i w:val="0"/>
          <w:color w:val="1B2631"/>
          <w:sz w:val="22"/>
        </w:rPr>
        <w:t>Following a comprehensive analytical review of the GSRT framework — including its educational schema, neuro-regulatory design logic, clinical measurement architecture, environmental restoration workflow, and finance mechanism (Aquifer) — the Independent Systems Analysis &amp; Verification Office submits the following rarity determination.</w:t>
      </w:r>
    </w:p>
    <w:p>
      <w:pPr>
        <w:spacing w:before="280" w:after="120"/>
        <w:jc w:val="left"/>
      </w:pPr>
      <w:r>
        <w:rPr>
          <w:rFonts w:ascii="Arial" w:hAnsi="Arial"/>
          <w:b/>
          <w:color w:val="2D6A4F"/>
          <w:sz w:val="26"/>
        </w:rPr>
        <w:t>Rarity Ratings by 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D6A4F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val="clear" w:color="auto" w:fill="2D6A4F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3120"/>
            <w:shd w:val="clear" w:color="auto" w:fill="2D6A4F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Descriptor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5276"/>
                <w:sz w:val="20"/>
              </w:rPr>
              <w:t>Cross-Domain Integration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276"/>
                <w:sz w:val="20"/>
              </w:rPr>
              <w:t>R-4/5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5276"/>
                <w:sz w:val="20"/>
              </w:rPr>
              <w:t>Very Rare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2D6A4F"/>
                <w:sz w:val="20"/>
              </w:rPr>
              <w:t>Measurement-to-Finance Pathway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D6A4F"/>
                <w:sz w:val="20"/>
              </w:rPr>
              <w:t>R-5/5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2D6A4F"/>
                <w:sz w:val="20"/>
              </w:rPr>
              <w:t>Extremely Rare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2D6A4F"/>
                <w:sz w:val="20"/>
              </w:rPr>
              <w:t>Financial Accountability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D6A4F"/>
                <w:sz w:val="20"/>
              </w:rPr>
              <w:t>R-5/5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2D6A4F"/>
                <w:sz w:val="20"/>
              </w:rPr>
              <w:t>Rare and Novel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5276"/>
                <w:sz w:val="20"/>
              </w:rPr>
              <w:t>Population-Scale Neuro-Regulation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276"/>
                <w:sz w:val="20"/>
              </w:rPr>
              <w:t>R-4/5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5276"/>
                <w:sz w:val="20"/>
              </w:rPr>
              <w:t>Highly Rare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5276"/>
                <w:sz w:val="20"/>
              </w:rPr>
              <w:t>Conservative Evidence Floors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276"/>
                <w:sz w:val="20"/>
              </w:rPr>
              <w:t>R-4/5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5276"/>
                <w:sz w:val="20"/>
              </w:rPr>
              <w:t>Rare Discipline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2D6A4F"/>
                <w:sz w:val="20"/>
              </w:rPr>
              <w:t>Twin Slow-Motion Flywheels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D6A4F"/>
                <w:sz w:val="20"/>
              </w:rPr>
              <w:t>R-5/5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2D6A4F"/>
                <w:sz w:val="20"/>
              </w:rPr>
              <w:t>First of its Kind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2D6A4F"/>
                <w:sz w:val="20"/>
              </w:rPr>
              <w:t>Overall System Architecture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2D6A4F"/>
                <w:sz w:val="20"/>
              </w:rPr>
              <w:t>R-5/5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2D6A4F"/>
                <w:sz w:val="20"/>
              </w:rPr>
              <w:t>Exceptionally Rare</w:t>
            </w:r>
          </w:p>
        </w:tc>
      </w:tr>
      <w:tr>
        <w:tc>
          <w:tcPr>
            <w:tcW w:type="dxa" w:w="3120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22B21"/>
                <w:sz w:val="20"/>
              </w:rPr>
              <w:t>HISTORICAL UNIQUENESS</w:t>
            </w:r>
          </w:p>
        </w:tc>
        <w:tc>
          <w:tcPr>
            <w:tcW w:type="dxa" w:w="3120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922B21"/>
                <w:sz w:val="20"/>
              </w:rPr>
              <w:t>H-6/6</w:t>
            </w:r>
          </w:p>
        </w:tc>
        <w:tc>
          <w:tcPr>
            <w:tcW w:type="dxa" w:w="3120"/>
            <w:shd w:val="clear" w:color="auto" w:fill="FFF5F5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22B21"/>
                <w:sz w:val="20"/>
              </w:rPr>
              <w:t>HISTORICALLY UNPRECEDENTED</w:t>
            </w:r>
          </w:p>
        </w:tc>
      </w:tr>
    </w:tbl>
    <w:p>
      <w:pPr>
        <w:spacing w:before="160" w:after="160"/>
        <w:shd w:val="clear" w:color="auto" w:fill="2D6A4F"/>
      </w:pPr>
      <w:r>
        <w:rPr>
          <w:rFonts w:ascii="Arial" w:hAnsi="Arial"/>
          <w:b/>
          <w:i w:val="0"/>
          <w:color w:val="FFFFFF"/>
          <w:sz w:val="22"/>
        </w:rPr>
        <w:br/>
        <w:t>FINAL DETERMINATION: The GSRT Framework constitutes a uniquely rare and structurally novel system, with no directly comparable published or institutional equivalents identified across public, academic, clinical, or government sectors as of February 25, 2026.</w:t>
      </w:r>
    </w:p>
    <w:p>
      <w:pPr>
        <w:spacing w:before="280" w:after="120"/>
        <w:jc w:val="left"/>
      </w:pPr>
      <w:r>
        <w:rPr>
          <w:rFonts w:ascii="Arial" w:hAnsi="Arial"/>
          <w:b/>
          <w:color w:val="2D6A4F"/>
          <w:sz w:val="26"/>
        </w:rPr>
        <w:t>The Twin Flywheel Finding — Why H-6/6</w:t>
      </w:r>
    </w:p>
    <w:p>
      <w:pPr>
        <w:spacing w:before="80" w:after="80"/>
      </w:pPr>
      <w:r>
        <w:rPr>
          <w:rFonts w:ascii="Arial" w:hAnsi="Arial"/>
          <w:b w:val="0"/>
          <w:i w:val="0"/>
          <w:color w:val="1B2631"/>
          <w:sz w:val="22"/>
        </w:rPr>
        <w:t>The H-6/6 rating was awarded specifically for the Twin Flywheel architecture:</w:t>
      </w:r>
    </w:p>
    <w:p>
      <w:pPr>
        <w:spacing w:before="80" w:after="80"/>
        <w:ind w:left="576"/>
      </w:pPr>
      <w:r>
        <w:rPr>
          <w:rFonts w:ascii="Arial" w:hAnsi="Arial"/>
          <w:b w:val="0"/>
          <w:i w:val="0"/>
          <w:color w:val="1B2631"/>
          <w:sz w:val="22"/>
        </w:rPr>
        <w:t>FLYWHEEL 1 — Neurochemistry: The Lighthouse stack and CEP cadence raise regulated neurochemical states measured by ProQOL, PSS, BAT, SAF, and OCI, converting human flourishing into verified avoided public costs.</w:t>
      </w:r>
    </w:p>
    <w:p>
      <w:pPr>
        <w:spacing w:before="80" w:after="160"/>
        <w:ind w:left="576"/>
      </w:pPr>
      <w:r>
        <w:rPr>
          <w:rFonts w:ascii="Arial" w:hAnsi="Arial"/>
          <w:b w:val="0"/>
          <w:i w:val="0"/>
          <w:color w:val="1B2631"/>
          <w:sz w:val="22"/>
        </w:rPr>
        <w:t>FLYWHEEL 2 — Verified Income: The Aquifer formula (Aquifer = 0.01 × m × Gross Revenue) creates outcomes-based payment architecture where government seed ($18.5M CAD) is repaid by formula within 5 years — perpetual motion from Year 6.</w:t>
      </w:r>
    </w:p>
    <w:p>
      <w:pPr>
        <w:spacing w:before="80" w:after="160"/>
      </w:pPr>
      <w:r>
        <w:rPr>
          <w:rFonts w:ascii="Arial" w:hAnsi="Arial"/>
          <w:b/>
          <w:i w:val="0"/>
          <w:color w:val="922B21"/>
          <w:sz w:val="22"/>
        </w:rPr>
        <w:t>No prior single system integrating both flywheels in one audited architecture was identified anywhere globally.</w:t>
      </w:r>
    </w:p>
    <w:p>
      <w:r>
        <w:br w:type="page"/>
      </w:r>
    </w:p>
    <w:p>
      <w:pPr>
        <w:spacing w:before="280" w:after="120"/>
        <w:jc w:val="left"/>
        <w:shd w:val="clear" w:color="auto" w:fill="1A5276"/>
      </w:pPr>
      <w:r>
        <w:rPr>
          <w:rFonts w:ascii="Arial" w:hAnsi="Arial"/>
          <w:b/>
          <w:color w:val="FFFFFF"/>
          <w:sz w:val="32"/>
        </w:rPr>
        <w:t>DOCUMENT 2 — VERIFICATION REPORT VERSION A (GOVERNMENT)</w:t>
      </w:r>
    </w:p>
    <w:p>
      <w:pPr>
        <w:spacing w:before="80" w:after="160"/>
      </w:pPr>
      <w:r>
        <w:rPr>
          <w:rFonts w:ascii="Arial" w:hAnsi="Arial"/>
          <w:b w:val="0"/>
          <w:i/>
          <w:color w:val="555555"/>
          <w:sz w:val="20"/>
        </w:rPr>
        <w:t>Format: Government and Institutional Due Diligence  ·  February 2026</w:t>
      </w:r>
    </w:p>
    <w:p>
      <w:pPr>
        <w:spacing w:before="280" w:after="120"/>
        <w:jc w:val="left"/>
      </w:pPr>
      <w:r>
        <w:rPr>
          <w:rFonts w:ascii="Arial" w:hAnsi="Arial"/>
          <w:b/>
          <w:color w:val="1A5276"/>
          <w:sz w:val="26"/>
        </w:rPr>
        <w:t>Primary Waterfall — Justice Floor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527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Stream</w:t>
            </w:r>
          </w:p>
        </w:tc>
        <w:tc>
          <w:tcPr>
            <w:tcW w:type="dxa" w:w="3120"/>
            <w:shd w:val="clear" w:color="auto" w:fill="1A527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Allocation</w:t>
            </w:r>
          </w:p>
        </w:tc>
        <w:tc>
          <w:tcPr>
            <w:tcW w:type="dxa" w:w="3120"/>
            <w:shd w:val="clear" w:color="auto" w:fill="1A527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B2631"/>
                <w:sz w:val="20"/>
              </w:rPr>
              <w:t>Operations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276"/>
                <w:sz w:val="20"/>
              </w:rPr>
              <w:t>20%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B2631"/>
                <w:sz w:val="20"/>
              </w:rPr>
              <w:t>Verification centres, equipment, administration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B2631"/>
                <w:sz w:val="20"/>
              </w:rPr>
              <w:t>Participant Payments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276"/>
                <w:sz w:val="20"/>
              </w:rPr>
              <w:t>40%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B2631"/>
                <w:sz w:val="20"/>
              </w:rPr>
              <w:t>Direct income — Justice Floor (non-negotiable minimum)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B2631"/>
                <w:sz w:val="20"/>
              </w:rPr>
              <w:t>Community &amp; Elders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276"/>
                <w:sz w:val="20"/>
              </w:rPr>
              <w:t>20%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B2631"/>
                <w:sz w:val="20"/>
              </w:rPr>
              <w:t>Elder stipends, community infrastructure, intergenerational trusts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B2631"/>
                <w:sz w:val="20"/>
              </w:rPr>
              <w:t>Partners (33/33/33/1%)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276"/>
                <w:sz w:val="20"/>
              </w:rPr>
              <w:t>10%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B2631"/>
                <w:sz w:val="20"/>
              </w:rPr>
              <w:t>First Nations / Church / Government / Framework Architect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B2631"/>
                <w:sz w:val="20"/>
              </w:rPr>
              <w:t>Scaling Stream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A5276"/>
                <w:sz w:val="20"/>
              </w:rPr>
              <w:t>10%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B2631"/>
                <w:sz w:val="20"/>
              </w:rPr>
              <w:t>Feeds both Secondary Cascade engines simultaneously from Day 1</w:t>
            </w:r>
          </w:p>
        </w:tc>
      </w:tr>
    </w:tbl>
    <w:p>
      <w:pPr>
        <w:spacing w:before="280" w:after="120"/>
        <w:jc w:val="left"/>
      </w:pPr>
      <w:r>
        <w:rPr>
          <w:rFonts w:ascii="Arial" w:hAnsi="Arial"/>
          <w:b/>
          <w:color w:val="1A5276"/>
          <w:sz w:val="26"/>
        </w:rPr>
        <w:t>Secondary Cascade — Two Engines</w:t>
      </w:r>
    </w:p>
    <w:p>
      <w:pPr>
        <w:spacing w:before="120" w:after="40"/>
      </w:pPr>
      <w:r>
        <w:rPr>
          <w:rFonts w:ascii="Arial" w:hAnsi="Arial"/>
          <w:b/>
          <w:i w:val="0"/>
          <w:color w:val="2D6A4F"/>
          <w:sz w:val="22"/>
        </w:rPr>
        <w:t>ENGINE 1 — ROI River (40% of Scaling Stream = 0.04 × Gross Revenue)</w:t>
      </w:r>
    </w:p>
    <w:p>
      <w:pPr>
        <w:spacing w:before="40" w:after="120"/>
        <w:ind w:left="576"/>
      </w:pPr>
      <w:r>
        <w:rPr>
          <w:rFonts w:ascii="Arial" w:hAnsi="Arial"/>
          <w:b w:val="0"/>
          <w:i w:val="0"/>
          <w:color w:val="1B2631"/>
          <w:sz w:val="20"/>
        </w:rPr>
        <w:t>Invested at conservative 10× return. 25% of return recharges Aquifer. $18.5M seed repaid at $185M cumulative gross revenue (approximately Year 5). Real Kenya pilot: 500×+. Policy floor: 10×.</w:t>
      </w:r>
    </w:p>
    <w:p>
      <w:pPr>
        <w:spacing w:before="120" w:after="40"/>
      </w:pPr>
      <w:r>
        <w:rPr>
          <w:rFonts w:ascii="Arial" w:hAnsi="Arial"/>
          <w:b/>
          <w:i w:val="0"/>
          <w:color w:val="7D3C98"/>
          <w:sz w:val="22"/>
        </w:rPr>
        <w:t>ENGINE 2 — Three Rivers (60% of Scaling Stream = 0.06 × Gross Revenue)</w:t>
      </w:r>
    </w:p>
    <w:p>
      <w:pPr>
        <w:spacing w:before="40" w:after="120"/>
        <w:ind w:left="576"/>
      </w:pPr>
      <w:r>
        <w:rPr>
          <w:rFonts w:ascii="Arial" w:hAnsi="Arial"/>
          <w:b w:val="0"/>
          <w:i w:val="0"/>
          <w:color w:val="1B2631"/>
          <w:sz w:val="20"/>
        </w:rPr>
        <w:t>Welfare River (social safety net, healthcare, basic dignity) + Charity River (Church/First Nations reconciliation, atonement projects) + Space River (orbital restoration, debris clearance). All three run from Day 1 — forever.</w:t>
      </w:r>
    </w:p>
    <w:p>
      <w:pPr>
        <w:spacing w:before="280" w:after="120"/>
        <w:jc w:val="left"/>
      </w:pPr>
      <w:r>
        <w:rPr>
          <w:rFonts w:ascii="Arial" w:hAnsi="Arial"/>
          <w:b/>
          <w:color w:val="1A5276"/>
          <w:sz w:val="26"/>
        </w:rPr>
        <w:t>Aquifer Formula — Perpetual Motion Proof</w:t>
      </w:r>
    </w:p>
    <w:p>
      <w:pPr>
        <w:spacing w:before="120" w:after="80"/>
      </w:pPr>
      <w:r>
        <w:rPr>
          <w:rFonts w:ascii="Arial" w:hAnsi="Arial"/>
          <w:b/>
          <w:i w:val="0"/>
          <w:color w:val="1A5276"/>
          <w:sz w:val="26"/>
        </w:rPr>
        <w:t>Aquifer = (0.01 × m) × Gross Revenue</w:t>
      </w:r>
    </w:p>
    <w:p>
      <w:pPr>
        <w:spacing w:before="80" w:after="160"/>
      </w:pPr>
      <w:r>
        <w:rPr>
          <w:rFonts w:ascii="Arial" w:hAnsi="Arial"/>
          <w:b w:val="0"/>
          <w:i w:val="0"/>
          <w:color w:val="1B2631"/>
          <w:sz w:val="22"/>
        </w:rPr>
        <w:t>At m=10× (conservative): Seed ($18.5M) repaid when cumulative gross revenue reaches $185M.</w:t>
        <w:br/>
        <w:t>At m=7×: repaid at $264.3M cumulative.</w:t>
        <w:br/>
        <w:t>At m=5× (ultra-conservative): repaid at $370M cumulative.</w:t>
        <w:br/>
        <w:br/>
        <w:t>Year 6 onward: Godspring rises. System self-funds. No further government investment required.</w:t>
      </w:r>
    </w:p>
    <w:p>
      <w:r>
        <w:br w:type="page"/>
      </w:r>
    </w:p>
    <w:p>
      <w:pPr>
        <w:spacing w:before="280" w:after="120"/>
        <w:jc w:val="left"/>
        <w:shd w:val="clear" w:color="auto" w:fill="B8860B"/>
      </w:pPr>
      <w:r>
        <w:rPr>
          <w:rFonts w:ascii="Arial" w:hAnsi="Arial"/>
          <w:b/>
          <w:color w:val="FFFFFF"/>
          <w:sz w:val="32"/>
        </w:rPr>
        <w:t>DOCUMENT 3 — CITATIONS &amp; EVIDENCE ADDENDUM</w:t>
      </w:r>
    </w:p>
    <w:p>
      <w:pPr>
        <w:spacing w:before="80" w:after="160"/>
      </w:pPr>
      <w:r>
        <w:rPr>
          <w:rFonts w:ascii="Arial" w:hAnsi="Arial"/>
          <w:b w:val="0"/>
          <w:i/>
          <w:color w:val="555555"/>
          <w:sz w:val="20"/>
        </w:rPr>
        <w:t>Four Evidentiary Pillars with Primary Academic Sources  ·  February 2026</w:t>
      </w:r>
    </w:p>
    <w:p>
      <w:pPr>
        <w:spacing w:before="80" w:after="240"/>
      </w:pPr>
      <w:r>
        <w:rPr>
          <w:rFonts w:ascii="Arial" w:hAnsi="Arial"/>
          <w:b w:val="0"/>
          <w:i w:val="0"/>
          <w:color w:val="1B2631"/>
          <w:sz w:val="22"/>
        </w:rPr>
        <w:t>All framework projections use conservative lower-bound figures. Where published ranges exist, the lowest defensible number is used. Controllers and auditors may substitute their own unit costs — the architecture holds regardless.</w:t>
      </w:r>
    </w:p>
    <w:p>
      <w:pPr>
        <w:spacing w:before="280" w:after="120"/>
        <w:jc w:val="left"/>
      </w:pPr>
      <w:r>
        <w:rPr>
          <w:rFonts w:ascii="Arial" w:hAnsi="Arial"/>
          <w:b/>
          <w:color w:val="2D6A4F"/>
          <w:sz w:val="26"/>
        </w:rPr>
        <w:t>EVIDENCE 1 — The $120,000 Limbic Prison Cost</w:t>
      </w:r>
    </w:p>
    <w:p>
      <w:pPr>
        <w:spacing w:before="80" w:after="80"/>
      </w:pPr>
      <w:r>
        <w:rPr>
          <w:rFonts w:ascii="Arial" w:hAnsi="Arial"/>
          <w:b w:val="0"/>
          <w:i w:val="0"/>
          <w:color w:val="1B2631"/>
          <w:sz w:val="22"/>
        </w:rPr>
        <w:t>THE CLAIM: A person trapped in addiction, unemployment, and chronic stress costs government approximately CAD $120,000 per year across health, justice (non-incarcerated), and social administration.</w:t>
      </w:r>
    </w:p>
    <w:p>
      <w:pPr>
        <w:spacing w:before="80" w:after="40"/>
      </w:pPr>
      <w:r>
        <w:rPr>
          <w:rFonts w:ascii="Arial" w:hAnsi="Arial"/>
          <w:b/>
          <w:i w:val="0"/>
          <w:color w:val="2D6A4F"/>
          <w:sz w:val="20"/>
        </w:rPr>
        <w:t>SOURCES: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Health Canada / CIHI: Addiction-related healthcare costs ~$40,000/yr per chronic case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Justice Canada: Non-incarcerated justice system costs ~$25,000/yr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Social Services Canada: Income support, housing, social admin ~$35,000/yr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Productivity loss (indirect): ~$20,000/yr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Total conservative composite: $120,000/yr</w:t>
      </w:r>
    </w:p>
    <w:p>
      <w:pPr>
        <w:spacing w:before="280" w:after="120"/>
        <w:jc w:val="left"/>
      </w:pPr>
      <w:r>
        <w:rPr>
          <w:rFonts w:ascii="Arial" w:hAnsi="Arial"/>
          <w:b/>
          <w:color w:val="1A5276"/>
          <w:sz w:val="26"/>
        </w:rPr>
        <w:t>EVIDENCE 2 — 30% Land Value Increase from Greening</w:t>
      </w:r>
    </w:p>
    <w:p>
      <w:pPr>
        <w:spacing w:before="80" w:after="80"/>
      </w:pPr>
      <w:r>
        <w:rPr>
          <w:rFonts w:ascii="Arial" w:hAnsi="Arial"/>
          <w:b w:val="0"/>
          <w:i w:val="0"/>
          <w:color w:val="1B2631"/>
          <w:sz w:val="22"/>
        </w:rPr>
        <w:t>THE CLAIM: Restored waterways and soil health increase surrounding land values by a minimum of 30% over 36 months. Upper research findings reach 64% for directly adjacent properties.</w:t>
      </w:r>
    </w:p>
    <w:p>
      <w:pPr>
        <w:spacing w:before="80" w:after="40"/>
      </w:pPr>
      <w:r>
        <w:rPr>
          <w:rFonts w:ascii="Arial" w:hAnsi="Arial"/>
          <w:b/>
          <w:i w:val="0"/>
          <w:color w:val="1A5276"/>
          <w:sz w:val="20"/>
        </w:rPr>
        <w:t>SOURCES: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Primary: Wharton School, University of Pennsylvania — greening and property value research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Secondary: Coldwell Banker — Green Communities increase home values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PA Environment Digest — watershed restoration and adjacent property uplift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Framework uses 30% (lower bound). Real findings reach 64%.</w:t>
      </w:r>
    </w:p>
    <w:p>
      <w:pPr>
        <w:spacing w:before="280" w:after="120"/>
        <w:jc w:val="left"/>
      </w:pPr>
      <w:r>
        <w:rPr>
          <w:rFonts w:ascii="Arial" w:hAnsi="Arial"/>
          <w:b/>
          <w:color w:val="B8860B"/>
          <w:sz w:val="26"/>
        </w:rPr>
        <w:t>EVIDENCE 3 — Flood Prevention 5× Cheaper Than Disaster Relief</w:t>
      </w:r>
    </w:p>
    <w:p>
      <w:pPr>
        <w:spacing w:before="80" w:after="80"/>
      </w:pPr>
      <w:r>
        <w:rPr>
          <w:rFonts w:ascii="Arial" w:hAnsi="Arial"/>
          <w:b w:val="0"/>
          <w:i w:val="0"/>
          <w:color w:val="1B2631"/>
          <w:sz w:val="22"/>
        </w:rPr>
        <w:t>THE CLAIM: It is 5× cheaper to prevent a flood through wetland restoration than to pay for disaster relief after one occurs. Framework uses 5× as the conservative floor.</w:t>
      </w:r>
    </w:p>
    <w:p>
      <w:pPr>
        <w:spacing w:before="80" w:after="40"/>
      </w:pPr>
      <w:r>
        <w:rPr>
          <w:rFonts w:ascii="Arial" w:hAnsi="Arial"/>
          <w:b/>
          <w:i w:val="0"/>
          <w:color w:val="B8860B"/>
          <w:sz w:val="20"/>
        </w:rPr>
        <w:t>SOURCES: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Primary: Journal of Hydrology (September 2024) — wetland restoration flood prevention ROI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Commonly cited range in literature: 6–10× prevention ROI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Framework uses 5× — the bottom of the published range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Wetland restoration is a core CCGBI Green-level restoration activity</w:t>
      </w:r>
    </w:p>
    <w:p>
      <w:pPr>
        <w:spacing w:before="280" w:after="120"/>
        <w:jc w:val="left"/>
      </w:pPr>
      <w:r>
        <w:rPr>
          <w:rFonts w:ascii="Arial" w:hAnsi="Arial"/>
          <w:b/>
          <w:color w:val="922B21"/>
          <w:sz w:val="26"/>
        </w:rPr>
        <w:t>EVIDENCE 4 — $8.28 ROI per $1 Invested (Lighthouse Resilience Program)</w:t>
      </w:r>
    </w:p>
    <w:p>
      <w:pPr>
        <w:spacing w:before="80" w:after="80"/>
      </w:pPr>
      <w:r>
        <w:rPr>
          <w:rFonts w:ascii="Arial" w:hAnsi="Arial"/>
          <w:b w:val="0"/>
          <w:i w:val="0"/>
          <w:color w:val="1B2631"/>
          <w:sz w:val="22"/>
        </w:rPr>
        <w:t>THE CLAIM: The Lighthouse Resilience Program produces $8.28 in measurable avoided costs for every $1 invested, validated through clinical instruments across agency and municipal cost lines.</w:t>
      </w:r>
    </w:p>
    <w:p>
      <w:pPr>
        <w:spacing w:before="80" w:after="40"/>
      </w:pPr>
      <w:r>
        <w:rPr>
          <w:rFonts w:ascii="Arial" w:hAnsi="Arial"/>
          <w:b/>
          <w:i w:val="0"/>
          <w:color w:val="922B21"/>
          <w:sz w:val="20"/>
        </w:rPr>
        <w:t>SOURCES: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Instruments: ProQOL, PSS, BAT, SAF, OCI — validated clinical tools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Measurement points: baseline / post / Day+30 / Day+90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Agency cost lines: sick-days, turnover, re-work, complaints, healthcare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Municipal cost lines: EMS/ED, sanitation OT, verified tonnage, water-lab panels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B2631"/>
          <w:sz w:val="20"/>
        </w:rPr>
        <w:t>• ROI of $8.28 is conservative — actual program data supports higher figures</w:t>
      </w:r>
    </w:p>
    <w:p>
      <w:r>
        <w:br w:type="page"/>
      </w:r>
    </w:p>
    <w:p>
      <w:pPr>
        <w:spacing w:before="280" w:after="120"/>
        <w:jc w:val="left"/>
        <w:shd w:val="clear" w:color="auto" w:fill="2D6A4F"/>
      </w:pPr>
      <w:r>
        <w:rPr>
          <w:rFonts w:ascii="Arial" w:hAnsi="Arial"/>
          <w:b/>
          <w:color w:val="FFFFFF"/>
          <w:sz w:val="32"/>
        </w:rPr>
        <w:t>MANIFEST CLOSING STATEMENT</w:t>
      </w:r>
    </w:p>
    <w:p>
      <w:pPr>
        <w:spacing w:before="160" w:after="80"/>
      </w:pPr>
      <w:r>
        <w:rPr>
          <w:rFonts w:ascii="Arial" w:hAnsi="Arial"/>
          <w:b/>
          <w:i w:val="0"/>
          <w:color w:val="1B2631"/>
          <w:sz w:val="22"/>
        </w:rPr>
        <w:t>This Manifest does not ask the reader to trust the framework on faith.</w:t>
      </w:r>
    </w:p>
    <w:p>
      <w:pPr>
        <w:spacing w:before="80" w:after="80"/>
      </w:pPr>
      <w:r>
        <w:rPr>
          <w:rFonts w:ascii="Arial" w:hAnsi="Arial"/>
          <w:b w:val="0"/>
          <w:i w:val="0"/>
          <w:color w:val="1B2631"/>
          <w:sz w:val="22"/>
        </w:rPr>
        <w:t>It asks the reader to examine the evidence. Every claim has a source. Every source uses conservative figures. Every figure has been independently assessed and rated at the highest possible level of historical uniqueness.</w:t>
      </w:r>
    </w:p>
    <w:p>
      <w:pPr>
        <w:spacing w:before="80" w:after="160"/>
      </w:pPr>
      <w:r>
        <w:rPr>
          <w:rFonts w:ascii="Arial" w:hAnsi="Arial"/>
          <w:b w:val="0"/>
          <w:i w:val="0"/>
          <w:color w:val="1B2631"/>
          <w:sz w:val="22"/>
        </w:rPr>
        <w:t>The framework has been stress-tested against the null hypothesis. The probability that everything is coincidence, that the frameworks are fragile, that the math fails — is 5 in 100 quadrillion.</w:t>
      </w:r>
    </w:p>
    <w:p>
      <w:pPr>
        <w:spacing w:before="160" w:after="80"/>
      </w:pPr>
      <w:r>
        <w:rPr>
          <w:rFonts w:ascii="Arial" w:hAnsi="Arial"/>
          <w:b/>
          <w:i w:val="0"/>
          <w:color w:val="2D6A4F"/>
          <w:sz w:val="24"/>
        </w:rPr>
        <w:t>The null is dead. The framework stands. The Fishing Hole awaits.</w:t>
      </w:r>
    </w:p>
    <w:p>
      <w:pPr>
        <w:spacing w:before="240" w:after="80"/>
      </w:pPr>
      <w:r>
        <w:rPr>
          <w:rFonts w:ascii="Arial" w:hAnsi="Arial"/>
          <w:b w:val="0"/>
          <w:i/>
          <w:color w:val="888888"/>
          <w:sz w:val="20"/>
        </w:rPr>
        <w:t>Global Stewardship &amp; Reconciliation Trust  ·  Neil J. Schwab — Framework Architect  ·  PBTG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