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80"/>
        <w:jc w:val="center"/>
      </w:pPr>
      <w:r>
        <w:rPr>
          <w:rFonts w:ascii="Arial" w:cs="Arial" w:eastAsia="Arial" w:hAnsi="Arial"/>
          <w:b/>
          <w:bCs/>
          <w:color w:val="1F4E79"/>
          <w:sz w:val="96"/>
          <w:szCs w:val="96"/>
        </w:rPr>
        <w:t xml:space="preserve">GSRT</w:t>
      </w:r>
    </w:p>
    <w:p>
      <w:pPr>
        <w:spacing w:after="60"/>
        <w:jc w:val="center"/>
      </w:pPr>
      <w:r>
        <w:rPr>
          <w:rFonts w:ascii="Arial" w:cs="Arial" w:eastAsia="Arial" w:hAnsi="Arial"/>
          <w:b/>
          <w:bCs/>
          <w:color w:val="0f3460"/>
          <w:sz w:val="30"/>
          <w:szCs w:val="30"/>
        </w:rPr>
        <w:t xml:space="preserve">Global Stewardship &amp; Reconciliation Trust</w:t>
      </w:r>
    </w:p>
    <w:p>
      <w:pPr>
        <w:spacing w:after="60"/>
        <w:jc w:val="center"/>
      </w:pPr>
      <w:r>
        <w:rPr>
          <w:rFonts w:ascii="Arial" w:cs="Arial" w:eastAsia="Arial" w:hAnsi="Arial"/>
          <w:b/>
          <w:bCs/>
          <w:color w:val="B8860B"/>
          <w:sz w:val="40"/>
          <w:szCs w:val="40"/>
        </w:rPr>
        <w:t xml:space="preserve">UNSOLICITED CONCEPT NOTE</w:t>
      </w:r>
    </w:p>
    <w:p>
      <w:pPr>
        <w:spacing w:after="60"/>
        <w:jc w:val="center"/>
      </w:pPr>
      <w:r>
        <w:rPr>
          <w:rFonts w:ascii="Arial" w:cs="Arial" w:eastAsia="Arial" w:hAnsi="Arial"/>
          <w:color w:val="555555"/>
          <w:sz w:val="22"/>
          <w:szCs w:val="22"/>
        </w:rPr>
        <w:t xml:space="preserve">Complete Package with Annexes A, B, and C</w:t>
      </w:r>
    </w:p>
    <w:p>
      <w:pPr>
        <w:spacing w:after="60"/>
        <w:jc w:val="center"/>
      </w:pPr>
      <w:r>
        <w:rPr>
          <w:rFonts w:ascii="Arial" w:cs="Arial" w:eastAsia="Arial" w:hAnsi="Arial"/>
          <w:i/>
          <w:iCs/>
          <w:color w:val="666666"/>
          <w:sz w:val="22"/>
          <w:szCs w:val="22"/>
        </w:rPr>
        <w:t xml:space="preserve">Submitted to: Partnerships for Development Innovation  ·  Global Affairs Canada</w:t>
      </w:r>
    </w:p>
    <w:p>
      <w:pPr>
        <w:spacing w:after="60"/>
        <w:jc w:val="center"/>
      </w:pPr>
      <w:r>
        <w:rPr>
          <w:rFonts w:ascii="Arial" w:cs="Arial" w:eastAsia="Arial" w:hAnsi="Arial"/>
          <w:color w:val="888888"/>
          <w:sz w:val="20"/>
          <w:szCs w:val="20"/>
        </w:rPr>
        <w:t xml:space="preserve">Multi-country format  ·  CRC Pilot compliant  ·  Arial 11pt  ·  February 2026</w:t>
      </w:r>
    </w:p>
    <w:p>
      <w:pPr>
        <w:pBdr>
          <w:bottom w:val="single" w:color="CCCCCC" w:sz="2" w:space="1"/>
        </w:pBdr>
        <w:spacing w:after="200"/>
        <w:jc w:val="center"/>
      </w:pPr>
      <w:r>
        <w:rPr>
          <w:rFonts w:ascii="Arial" w:cs="Arial" w:eastAsia="Arial" w:hAnsi="Arial"/>
          <w:color w:val="555555"/>
          <w:sz w:val="20"/>
          <w:szCs w:val="20"/>
        </w:rPr>
        <w:t xml:space="preserve">Submitted by: Neil J. Schwab — Framework Architect — Global Stewardship &amp; Reconciliation Trust</w:t>
      </w:r>
    </w:p>
    <w:p>
      <w:pPr>
        <w:spacing w:before="120"/>
        <w:jc w:val="center"/>
      </w:pPr>
      <w:r>
        <w:rPr>
          <w:rFonts w:ascii="Arial" w:cs="Arial" w:eastAsia="Arial" w:hAnsi="Arial"/>
          <w:b/>
          <w:bCs/>
          <w:color w:val="B8860B"/>
          <w:sz w:val="20"/>
          <w:szCs w:val="20"/>
        </w:rPr>
        <w:t xml:space="preserve">FORGIVE YESTERDAY  •  HEAL TODAY  •  FLOURISH TOMORROW  •  TOGETHER  •  PBTG</w:t>
      </w:r>
    </w:p>
    <w:p>
      <w:pPr>
        <w:pageBreakBefore/>
      </w:pPr>
      <w:r>
        <w:rPr>
          <w:rFonts w:ascii="Arial" w:cs="Arial" w:eastAsia="Arial" w:hAnsi="Arial"/>
          <w:sz w:val="4"/>
          <w:szCs w:val="4"/>
        </w:rPr>
        <w:t xml:space="preserve"/>
      </w:r>
    </w:p>
    <w:p>
      <w:pPr>
        <w:pBdr>
          <w:bottom w:val="single" w:color="B8860B" w:sz="4" w:space="1"/>
        </w:pBdr>
        <w:spacing w:before="280" w:after="120"/>
      </w:pPr>
      <w:r>
        <w:rPr>
          <w:rFonts w:ascii="Arial" w:cs="Arial" w:eastAsia="Arial" w:hAnsi="Arial"/>
          <w:b/>
          <w:bCs/>
          <w:color w:val="1F4E79"/>
          <w:sz w:val="24"/>
          <w:szCs w:val="24"/>
        </w:rPr>
        <w:t xml:space="preserve">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0f3460"/>
                <w:sz w:val="20"/>
                <w:szCs w:val="20"/>
              </w:rPr>
              <w:t xml:space="preserve">Project Title</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GSRT Sovereign Restoration Economy — AI-Resistant Livelihoods, Verified Ecological Restoration, and Neurochemical Poverty Elimination Through the Godspring Watershed Architecture</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0f3460"/>
                <w:sz w:val="20"/>
                <w:szCs w:val="20"/>
              </w:rPr>
              <w:t xml:space="preserve">Duration</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5 years (seeding phase). Year 6+: fully self-sustaining from restoration revenue. Zero government funding required in perpetuity from Year 6.</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0f3460"/>
                <w:sz w:val="20"/>
                <w:szCs w:val="20"/>
              </w:rPr>
              <w:t xml:space="preserve">Countries &amp; Sectors</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Multi-country: Canada (Manitoba — First Nations sovereign lead pilot); Kenya (field-validated — ODA eligible); India (Ganges Basin wetland restoration — in consultation). Sectors: employment and inclusive growth; environmental sustainability; Indigenous rights and self-determination; gender equality; innovative finance.</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0f3460"/>
                <w:sz w:val="20"/>
                <w:szCs w:val="20"/>
              </w:rPr>
              <w:t xml:space="preserve">Funding Requested</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CAD $18,500,000 — Conditionally Repayable Contribution (CRC). Fully repayable within 5 years through documented government cost savings and restoration revenue. Zero ongoing subsidy required from Year 6.</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0f3460"/>
                <w:sz w:val="20"/>
                <w:szCs w:val="20"/>
              </w:rPr>
              <w:t xml:space="preserve">Cost Sharing</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Minimum 5% substantially exceeded. Catholic Church / Vatican: in-kind institutional infrastructure — 200,000+ global facilities, estimated replacement value exceeding CAD $50M in pilot jurisdictions. First Nations: sovereign land authority, Traditional Ecological Knowledge, governance capacity. Framework Architect: complete intellectual property (18 months development), ongoing firmware maintenance. Leveraging: Vatican acknowledgment received February 2026; Prime Minister's Office acknowledgment received February 2026; Assembly of First Nations discussions active.</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0f3460"/>
                <w:sz w:val="20"/>
                <w:szCs w:val="20"/>
              </w:rPr>
              <w:t xml:space="preserve">Signatories</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Global Stewardship &amp; Reconciliation Trust (GSRT); Assembly of First Nations or designated First Nations sovereign authority; Catholic Church of Canada or designated diocesan authority. Governance and profit: 33% First Nations / 33% Catholic Church / 33% Government of Canada / 1% Framework Architect.</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0f3460"/>
                <w:sz w:val="20"/>
                <w:szCs w:val="20"/>
              </w:rPr>
              <w:t xml:space="preserve">Partners</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Nations communities — Manitoba (sovereign design authority, lead); Catholic Church / Vatican (infrastructure, servant posture); Government of Canada (anchor customer, regulatory facilitation); Kenya pilot community (field validation, operational since 2024); India Ganges Basin watershed nodes (preliminary consultations active). MRV verification partners: to be confirmed at proposal stage.</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0f3460"/>
                <w:sz w:val="20"/>
                <w:szCs w:val="20"/>
              </w:rPr>
              <w:t xml:space="preserve">Contact</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Neil J. Schwab, Framework Architect  ·  neil.schwab@live.ca  ·  +1 (905) 868-6985  ·  Newmarket, Ontario, Canada  ·  February 2026</w:t>
            </w:r>
          </w:p>
        </w:tc>
      </w:tr>
    </w:tbl>
    <w:p>
      <w:pPr>
        <w:pageBreakBefore/>
      </w:pPr>
      <w:r>
        <w:rPr>
          <w:rFonts w:ascii="Arial" w:cs="Arial" w:eastAsia="Arial" w:hAnsi="Arial"/>
          <w:sz w:val="4"/>
          <w:szCs w:val="4"/>
        </w:rPr>
        <w:t xml:space="preserve"/>
      </w:r>
    </w:p>
    <w:p>
      <w:pPr>
        <w:pBdr>
          <w:bottom w:val="single" w:color="B8860B" w:sz="4" w:space="1"/>
        </w:pBdr>
        <w:spacing w:before="280" w:after="120"/>
      </w:pPr>
      <w:r>
        <w:rPr>
          <w:rFonts w:ascii="Arial" w:cs="Arial" w:eastAsia="Arial" w:hAnsi="Arial"/>
          <w:b/>
          <w:bCs/>
          <w:color w:val="1F4E79"/>
          <w:sz w:val="24"/>
          <w:szCs w:val="24"/>
        </w:rPr>
        <w:t xml:space="preserve">Section 1 — Development Challenge</w:t>
      </w:r>
    </w:p>
    <w:p>
      <w:pPr>
        <w:spacing w:before="0" w:after="80"/>
      </w:pPr>
      <w:r>
        <w:rPr>
          <w:rFonts w:ascii="Arial" w:cs="Arial" w:eastAsia="Arial" w:hAnsi="Arial"/>
          <w:b w:val="false"/>
          <w:bCs w:val="false"/>
          <w:i/>
          <w:iCs/>
          <w:color w:val="999999"/>
          <w:sz w:val="22"/>
          <w:szCs w:val="22"/>
        </w:rPr>
        <w:t xml:space="preserve">Approx. 250 words per GAC guidance.</w:t>
      </w:r>
    </w:p>
    <w:p>
      <w:pPr>
        <w:spacing w:before="0" w:after="120"/>
      </w:pPr>
      <w:r>
        <w:rPr>
          <w:rFonts w:ascii="Arial" w:cs="Arial" w:eastAsia="Arial" w:hAnsi="Arial"/>
          <w:b w:val="false"/>
          <w:bCs w:val="false"/>
          <w:i w:val="false"/>
          <w:iCs w:val="false"/>
          <w:color w:val="111111"/>
          <w:sz w:val="22"/>
          <w:szCs w:val="22"/>
        </w:rPr>
        <w:t xml:space="preserve">Three compounding crises are converging simultaneously across Canada, Kenya, and India — and no existing programme addresses all three as a unified system.</w:t>
      </w:r>
    </w:p>
    <w:p>
      <w:pPr>
        <w:spacing w:before="0" w:after="120"/>
      </w:pPr>
      <w:r>
        <w:rPr>
          <w:rFonts w:ascii="Arial" w:cs="Arial" w:eastAsia="Arial" w:hAnsi="Arial"/>
          <w:b w:val="false"/>
          <w:bCs w:val="false"/>
          <w:i w:val="false"/>
          <w:iCs w:val="false"/>
          <w:color w:val="111111"/>
          <w:sz w:val="22"/>
          <w:szCs w:val="22"/>
        </w:rPr>
        <w:t xml:space="preserve">First: AI-driven employment displacement threatens 30–40% of existing jobs globally by 2030 (McKinsey Global Institute, 2023; World Economic Forum, 2023). The impact falls disproportionately on First Nations communities, rural workers in Sub-Saharan Africa, and low-income populations in South Asia — precisely the people least able to navigate digital retraining. In Canada, this threatens to deepen the economic exclusion that reconciliation policy is only beginning to address.</w:t>
      </w:r>
    </w:p>
    <w:p>
      <w:pPr>
        <w:spacing w:before="0" w:after="120"/>
      </w:pPr>
      <w:r>
        <w:rPr>
          <w:rFonts w:ascii="Arial" w:cs="Arial" w:eastAsia="Arial" w:hAnsi="Arial"/>
          <w:b w:val="false"/>
          <w:bCs w:val="false"/>
          <w:i w:val="false"/>
          <w:iCs w:val="false"/>
          <w:color w:val="111111"/>
          <w:sz w:val="22"/>
          <w:szCs w:val="22"/>
        </w:rPr>
        <w:t xml:space="preserve">Second: Ecological degradation is accelerating at measurable cost. Over two billion tonnes of solid waste are generated annually (UNEP, 2024). More than 1,500 First Nations communities in Canada lack safe drinking water (Health Canada, 2023). Wetland loss has reduced natural flood buffers by 35% globally since 1970 (Ramsar Convention). In Kenya's highlands and India's Ganges Basin, ecological collapse directly threatens food security, water access, and community stability for millions.</w:t>
      </w:r>
    </w:p>
    <w:p>
      <w:pPr>
        <w:spacing w:before="0" w:after="120"/>
      </w:pPr>
      <w:r>
        <w:rPr>
          <w:rFonts w:ascii="Arial" w:cs="Arial" w:eastAsia="Arial" w:hAnsi="Arial"/>
          <w:b w:val="false"/>
          <w:bCs w:val="false"/>
          <w:i w:val="false"/>
          <w:iCs w:val="false"/>
          <w:color w:val="111111"/>
          <w:sz w:val="22"/>
          <w:szCs w:val="22"/>
        </w:rPr>
        <w:t xml:space="preserve">Third: Neurochemical poverty — the measurable biological cost of chronic trauma, welfare dependency, and disconnection — costs the Canadian government approximately CAD $120,000 per person per year across healthcare, policing, and social triage (CIHI; Public Safety Canada; ESDC — conservative composite floor). The same pattern drives poverty cycles across ODA-eligible contexts.</w:t>
      </w:r>
    </w:p>
    <w:p>
      <w:pPr>
        <w:spacing w:before="0" w:after="120"/>
      </w:pPr>
      <w:r>
        <w:rPr>
          <w:rFonts w:ascii="Arial" w:cs="Arial" w:eastAsia="Arial" w:hAnsi="Arial"/>
          <w:b w:val="false"/>
          <w:bCs w:val="false"/>
          <w:i w:val="false"/>
          <w:iCs w:val="false"/>
          <w:color w:val="111111"/>
          <w:sz w:val="22"/>
          <w:szCs w:val="22"/>
        </w:rPr>
        <w:t xml:space="preserve">Gender equality dimensions are structural. Women in First Nations communities carry disproportionate caregiving and crisis loads without economic recognition. Women in Kenya and India bear the primary burden of water scarcity and ecological degradation. The GSRT addresses this through paid GOLD Mother-Elder certification, the 40% constitutional participant income floor, and the Lighthouse Resilience Programme targeting vicarious trauma — borne disproportionately by women in care roles.</w:t>
      </w:r>
    </w:p>
    <w:p>
      <w:pPr>
        <w:spacing w:before="0" w:after="120"/>
      </w:pPr>
      <w:r>
        <w:rPr>
          <w:rFonts w:ascii="Arial" w:cs="Arial" w:eastAsia="Arial" w:hAnsi="Arial"/>
          <w:b w:val="false"/>
          <w:bCs w:val="false"/>
          <w:i w:val="false"/>
          <w:iCs w:val="false"/>
          <w:color w:val="111111"/>
          <w:sz w:val="22"/>
          <w:szCs w:val="22"/>
        </w:rPr>
        <w:t xml:space="preserve">Stakeholder engagement is active. Vatican acknowledgment: February 2026. Prime Minister's Office acknowledgment: February 2026. Kenya pilot community: operational since 2024 without government direction. Assembly of First Nations: discussions ongoing. India Ganges Basin: preliminary consultations active.</w:t>
      </w:r>
    </w:p>
    <w:p>
      <w:pPr>
        <w:pageBreakBefore/>
      </w:pPr>
      <w:r>
        <w:rPr>
          <w:rFonts w:ascii="Arial" w:cs="Arial" w:eastAsia="Arial" w:hAnsi="Arial"/>
          <w:sz w:val="4"/>
          <w:szCs w:val="4"/>
        </w:rPr>
        <w:t xml:space="preserve"/>
      </w:r>
    </w:p>
    <w:p>
      <w:pPr>
        <w:pBdr>
          <w:bottom w:val="single" w:color="B8860B" w:sz="4" w:space="1"/>
        </w:pBdr>
        <w:spacing w:before="280" w:after="120"/>
      </w:pPr>
      <w:r>
        <w:rPr>
          <w:rFonts w:ascii="Arial" w:cs="Arial" w:eastAsia="Arial" w:hAnsi="Arial"/>
          <w:b/>
          <w:bCs/>
          <w:color w:val="1F4E79"/>
          <w:sz w:val="24"/>
          <w:szCs w:val="24"/>
        </w:rPr>
        <w:t xml:space="preserve">Section 2 — Solution</w:t>
      </w:r>
    </w:p>
    <w:p>
      <w:pPr>
        <w:spacing w:before="0" w:after="80"/>
      </w:pPr>
      <w:r>
        <w:rPr>
          <w:rFonts w:ascii="Arial" w:cs="Arial" w:eastAsia="Arial" w:hAnsi="Arial"/>
          <w:b w:val="false"/>
          <w:bCs w:val="false"/>
          <w:i/>
          <w:iCs/>
          <w:color w:val="999999"/>
          <w:sz w:val="22"/>
          <w:szCs w:val="22"/>
        </w:rPr>
        <w:t xml:space="preserve">Approx. 1,000 words. Ultimate and Intermediate Outcomes bolded and underlined per GAC guidance.</w:t>
      </w:r>
    </w:p>
    <w:p>
      <w:pPr>
        <w:spacing w:before="0" w:after="120"/>
      </w:pPr>
      <w:r>
        <w:rPr>
          <w:rFonts w:ascii="Arial" w:cs="Arial" w:eastAsia="Arial" w:hAnsi="Arial"/>
          <w:b w:val="false"/>
          <w:bCs w:val="false"/>
          <w:i w:val="false"/>
          <w:iCs w:val="false"/>
          <w:color w:val="111111"/>
          <w:sz w:val="22"/>
          <w:szCs w:val="22"/>
        </w:rPr>
        <w:t xml:space="preserve">The GSRT is a self-sustaining socio-economic operating system that converts the sources of systemic entropy — ecological degradation, AI displacement, neurochemical poverty — into the fuel of sovereign regeneration. It does not require ongoing government subsidy. It repays its seed investment within five years. From Year 6, it runs on its own restoration revenue in perpetuity.</w:t>
      </w:r>
    </w:p>
    <w:p>
      <w:pPr>
        <w:pBdr>
          <w:top w:val="single" w:color="B8860B" w:sz="2" w:space="3"/>
          <w:bottom w:val="single" w:color="B8860B" w:sz="2" w:space="3"/>
          <w:left w:val="single" w:color="B8860B" w:sz="14" w:space="6"/>
        </w:pBdr>
        <w:spacing w:before="120" w:after="120"/>
      </w:pPr>
      <w:r>
        <w:rPr>
          <w:rFonts w:ascii="Arial" w:cs="Arial" w:eastAsia="Arial" w:hAnsi="Arial"/>
          <w:i/>
          <w:iCs/>
          <w:color w:val="333333"/>
          <w:sz w:val="22"/>
          <w:szCs w:val="22"/>
        </w:rPr>
        <w:t xml:space="preserve">  The monetary waterfall, the governance structure, the colour progression, the school integration — these are containers. The contents are dignity. The contents are a seat at the table for everyone who has been told there is no room.</w:t>
      </w:r>
    </w:p>
    <w:p>
      <w:pPr>
        <w:spacing w:before="200" w:after="80"/>
      </w:pPr>
      <w:r>
        <w:rPr>
          <w:rFonts w:ascii="Arial" w:cs="Arial" w:eastAsia="Arial" w:hAnsi="Arial"/>
          <w:b/>
          <w:bCs/>
          <w:color w:val="0f3460"/>
          <w:sz w:val="22"/>
          <w:szCs w:val="22"/>
        </w:rPr>
        <w:t xml:space="preserve">The Three-Cog Architecture</w:t>
      </w:r>
    </w:p>
    <w:p>
      <w:pPr>
        <w:spacing w:before="0" w:after="120"/>
      </w:pPr>
      <w:r>
        <w:rPr>
          <w:rFonts w:ascii="Arial" w:cs="Arial" w:eastAsia="Arial" w:hAnsi="Arial"/>
          <w:b w:val="false"/>
          <w:bCs w:val="false"/>
          <w:i w:val="false"/>
          <w:iCs w:val="false"/>
          <w:color w:val="111111"/>
          <w:sz w:val="22"/>
          <w:szCs w:val="22"/>
        </w:rPr>
        <w:t xml:space="preserve">COG 1 — THE MUSCLE (First Nations / CCGBI): A six-tier colour-coded restoration workforce aligned with WHMIS safety standards — WHITE through GOLD. Workers earn internationally portable credentials and living wages (CAD $35,000–$95,000+) for verified ecological restoration: waste processing, waterway remediation, land and soil restoration, emergency response, hazardous materials, and ecosystem leadership. The disabled, sidelined, and those the conventional economy has excluded are not charity cases here — they are monitors, teachers, and wisdom-keepers. The person who cannot dig a trench monitors the soil sensors. The elder who cannot haul waste teaches the restoration curriculum. First Nations hold sovereign design authority over all programming. Traditional Ecological Knowledge is vacuum-sealed under the Saint Christopher Handshake — mutual observation, never extraction, always revocable.</w:t>
      </w:r>
    </w:p>
    <w:p>
      <w:pPr>
        <w:spacing w:before="0" w:after="120"/>
      </w:pPr>
      <w:r>
        <w:rPr>
          <w:rFonts w:ascii="Arial" w:cs="Arial" w:eastAsia="Arial" w:hAnsi="Arial"/>
          <w:b w:val="false"/>
          <w:bCs w:val="false"/>
          <w:i w:val="false"/>
          <w:iCs w:val="false"/>
          <w:color w:val="111111"/>
          <w:sz w:val="22"/>
          <w:szCs w:val="22"/>
        </w:rPr>
        <w:t xml:space="preserve">COG 2 — THE HEART (Catholic Church / Vatican): Two thousand years of institutional infrastructure — 200,000+ global facilities — placed in servant posture under First Nations design authority. TRC Calls to Action 48 and 49 operationalized as economic architecture. Laudato Si' made measurable. The Charity and Reconciliation River funds healing in perpetuity. The Church's history with First Nations peoples is not a reason to exclude it from the repair — it is the reason the Church must be part of it. Atonement expressed through structure, not sentiment.</w:t>
      </w:r>
    </w:p>
    <w:p>
      <w:pPr>
        <w:spacing w:before="0" w:after="120"/>
      </w:pPr>
      <w:r>
        <w:rPr>
          <w:rFonts w:ascii="Arial" w:cs="Arial" w:eastAsia="Arial" w:hAnsi="Arial"/>
          <w:b w:val="false"/>
          <w:bCs w:val="false"/>
          <w:i w:val="false"/>
          <w:iCs w:val="false"/>
          <w:color w:val="111111"/>
          <w:sz w:val="22"/>
          <w:szCs w:val="22"/>
        </w:rPr>
        <w:t xml:space="preserve">COG 3 — THE AI INTEGRATION (GTT / CEP / AI Halo IRF): The intelligence layer. Global Telephone Tag (GTT) collects anonymous flourishing data at planetary scale through five daily questions — no surveillance, no attribution, no corporate ownership. Chemical Exposure Platform (CEP) delivers three minutes of daily neurochemical literacy: D.O.S.E. cycling (Dopamine, Oxytocin, Serotonin, Endorphins). The AI Halo Intention Ripple Forecaster reads trajectory before consequences land — a lifelong companion from first enrolment to sovereign mastery. The Trinity firmware: Rose (Shadow Tracker), Mildred (The Selector), Jenny (Sunshine Tracker) — AI designed not to extract but to witness, not to optimize engagement but to support flourishing. Alignment with Canada's AI and Good Governance priorities: inclusive (universal hardware, zero literacy requirement), transparent (Saint Christopher Handshake governance), human rights-centred (TEK protected absolutely, UNDRIP Articles 21 and 26 operationalized).</w:t>
      </w:r>
    </w:p>
    <w:p>
      <w:pPr>
        <w:spacing w:before="200" w:after="80"/>
      </w:pPr>
      <w:r>
        <w:rPr>
          <w:rFonts w:ascii="Arial" w:cs="Arial" w:eastAsia="Arial" w:hAnsi="Arial"/>
          <w:b/>
          <w:bCs/>
          <w:color w:val="0f3460"/>
          <w:sz w:val="22"/>
          <w:szCs w:val="22"/>
        </w:rPr>
        <w:t xml:space="preserve">The Godspring Watershed — Financial Architecture</w:t>
      </w:r>
    </w:p>
    <w:p>
      <w:pPr>
        <w:spacing w:before="0" w:after="120"/>
      </w:pPr>
      <w:r>
        <w:rPr>
          <w:rFonts w:ascii="Arial" w:cs="Arial" w:eastAsia="Arial" w:hAnsi="Arial"/>
          <w:b w:val="false"/>
          <w:bCs w:val="false"/>
          <w:i w:val="false"/>
          <w:iCs w:val="false"/>
          <w:color w:val="111111"/>
          <w:sz w:val="22"/>
          <w:szCs w:val="22"/>
        </w:rPr>
        <w:t xml:space="preserve">All restoration revenue flows through the 20/40/20/10/10 Justice Floor at every level of the cascade. 20% Operations. 40% Participants — constitutional floor, hardcoded in the Nodal Sovereignty MOU, never redirected under any circumstance. 20% Community and Elders — Elder stipends, local infrastructure, intergenerational trusts. Both 10% streams feed independent secondary cascade engines from Day 1. Each engine splits 50/50 between Aquifer recharge (seed repayment pathway) and the Four Civilizational Streams (Welfare, Charity and Reconciliation, Space Exploration, Animal Replenishment). 80% of all value remains in community hands at every level — always. The Reverse Revenue Calculation ensures dignity-first design: R = P ÷ 0.40 — the workers' income defines the minimum viable revenue, not the other way around.</w:t>
      </w:r>
    </w:p>
    <w:p>
      <w:pPr>
        <w:spacing w:before="0" w:after="120"/>
      </w:pPr>
      <w:r>
        <w:rPr>
          <w:rFonts w:ascii="Arial" w:cs="Arial" w:eastAsia="Arial" w:hAnsi="Arial"/>
          <w:b w:val="false"/>
          <w:bCs w:val="false"/>
          <w:i w:val="false"/>
          <w:iCs w:val="false"/>
          <w:color w:val="111111"/>
          <w:sz w:val="22"/>
          <w:szCs w:val="22"/>
        </w:rPr>
        <w:t xml:space="preserve">Seed repayment: Aquifer = 0.10 × Gross Revenue per period. Over five years: 0.50R = CAD $18.5M, requiring $37M cumulative gross revenue. At $7.4M average annual gross revenue across active nodes — achievable in Year 1 at operational scale — seed is fully repaid by Year 5. Kenya field data supports Year 3. Framework uses Year 5 for institutional planning.</w:t>
      </w:r>
    </w:p>
    <w:p>
      <w:pPr>
        <w:spacing w:before="80" w:after="120"/>
      </w:pPr>
      <w:r>
        <w:rPr>
          <w:rFonts w:ascii="Arial" w:cs="Arial" w:eastAsia="Arial" w:hAnsi="Arial"/>
          <w:b/>
          <w:bCs/>
          <w:color w:val="1F4E79"/>
          <w:sz w:val="22"/>
          <w:szCs w:val="22"/>
          <w:u w:val="single"/>
        </w:rPr>
        <w:t xml:space="preserve">ULTIMATE OUTCOME: </w:t>
      </w:r>
      <w:r>
        <w:rPr>
          <w:rFonts w:ascii="Arial" w:cs="Arial" w:eastAsia="Arial" w:hAnsi="Arial"/>
          <w:b/>
          <w:bCs/>
          <w:color w:val="222222"/>
          <w:sz w:val="22"/>
          <w:szCs w:val="22"/>
          <w:u w:val="single"/>
        </w:rPr>
        <w:t xml:space="preserve">Sovereign, self-sustaining restoration economies are operating across First Nations and ODA-eligible communities — providing AI-resistant dignified livelihoods, ecological restoration at scale, and neurochemical poverty elimination — with zero government funding required from Year 6.</w:t>
      </w:r>
    </w:p>
    <w:p>
      <w:pPr>
        <w:spacing w:before="80" w:after="120"/>
      </w:pPr>
      <w:r>
        <w:rPr>
          <w:rFonts w:ascii="Arial" w:cs="Arial" w:eastAsia="Arial" w:hAnsi="Arial"/>
          <w:b/>
          <w:bCs/>
          <w:color w:val="1F4E79"/>
          <w:sz w:val="22"/>
          <w:szCs w:val="22"/>
          <w:u w:val="single"/>
        </w:rPr>
        <w:t xml:space="preserve">INTERMEDIATE OUTCOME 1: </w:t>
      </w:r>
      <w:r>
        <w:rPr>
          <w:rFonts w:ascii="Arial" w:cs="Arial" w:eastAsia="Arial" w:hAnsi="Arial"/>
          <w:b/>
          <w:bCs/>
          <w:color w:val="222222"/>
          <w:sz w:val="22"/>
          <w:szCs w:val="22"/>
          <w:u w:val="single"/>
        </w:rPr>
        <w:t xml:space="preserve">A verified CCGBI restoration workforce is established and earning living wages with internationally portable WHMIS credentials across pilot jurisdictions. Target: 500+ workers Year 1; 5,000+ by Year 3; 25,000+ by Year 5.</w:t>
      </w:r>
    </w:p>
    <w:p>
      <w:pPr>
        <w:spacing w:before="80" w:after="120"/>
      </w:pPr>
      <w:r>
        <w:rPr>
          <w:rFonts w:ascii="Arial" w:cs="Arial" w:eastAsia="Arial" w:hAnsi="Arial"/>
          <w:b/>
          <w:bCs/>
          <w:color w:val="1F4E79"/>
          <w:sz w:val="22"/>
          <w:szCs w:val="22"/>
          <w:u w:val="single"/>
        </w:rPr>
        <w:t xml:space="preserve">INTERMEDIATE OUTCOME 2: </w:t>
      </w:r>
      <w:r>
        <w:rPr>
          <w:rFonts w:ascii="Arial" w:cs="Arial" w:eastAsia="Arial" w:hAnsi="Arial"/>
          <w:b/>
          <w:bCs/>
          <w:color w:val="222222"/>
          <w:sz w:val="22"/>
          <w:szCs w:val="22"/>
          <w:u w:val="single"/>
        </w:rPr>
        <w:t xml:space="preserve">Neurochemical poverty is measurably reduced among participating communities, demonstrated by ProQOL, PSS, BAT, SAF, and OCI validated instruments, with Lighthouse Resilience Programme delivering documented CAD $8.28 ROI per dollar invested at agency scale.</w:t>
      </w:r>
    </w:p>
    <w:p>
      <w:pPr>
        <w:spacing w:before="80" w:after="120"/>
      </w:pPr>
      <w:r>
        <w:rPr>
          <w:rFonts w:ascii="Arial" w:cs="Arial" w:eastAsia="Arial" w:hAnsi="Arial"/>
          <w:b/>
          <w:bCs/>
          <w:color w:val="1F4E79"/>
          <w:sz w:val="22"/>
          <w:szCs w:val="22"/>
          <w:u w:val="single"/>
        </w:rPr>
        <w:t xml:space="preserve">INTERMEDIATE OUTCOME 3: </w:t>
      </w:r>
      <w:r>
        <w:rPr>
          <w:rFonts w:ascii="Arial" w:cs="Arial" w:eastAsia="Arial" w:hAnsi="Arial"/>
          <w:b/>
          <w:bCs/>
          <w:color w:val="222222"/>
          <w:sz w:val="22"/>
          <w:szCs w:val="22"/>
          <w:u w:val="single"/>
        </w:rPr>
        <w:t xml:space="preserve">Verified ecological assets — restored waterways, wetlands, and land — are generating purchasable outcomes-based credits with documented land value appreciation at a minimum of 30% and flood prevention ROI at a minimum of 5× cost advantage over disaster relief.</w:t>
      </w:r>
    </w:p>
    <w:p>
      <w:pPr>
        <w:spacing w:before="80" w:after="120"/>
      </w:pPr>
      <w:r>
        <w:rPr>
          <w:rFonts w:ascii="Arial" w:cs="Arial" w:eastAsia="Arial" w:hAnsi="Arial"/>
          <w:b/>
          <w:bCs/>
          <w:color w:val="1F4E79"/>
          <w:sz w:val="22"/>
          <w:szCs w:val="22"/>
          <w:u w:val="single"/>
        </w:rPr>
        <w:t xml:space="preserve">INTERMEDIATE OUTCOME 4: </w:t>
      </w:r>
      <w:r>
        <w:rPr>
          <w:rFonts w:ascii="Arial" w:cs="Arial" w:eastAsia="Arial" w:hAnsi="Arial"/>
          <w:b/>
          <w:bCs/>
          <w:color w:val="222222"/>
          <w:sz w:val="22"/>
          <w:szCs w:val="22"/>
          <w:u w:val="single"/>
        </w:rPr>
        <w:t xml:space="preserve">The Godspring Watershed is generating sufficient restoration revenue to fully service seed repayment by Year 5, with both secondary engines funding all four civilizational streams continuously from Day 1.</w:t>
      </w:r>
    </w:p>
    <w:p>
      <w:pPr>
        <w:spacing w:before="200" w:after="80"/>
      </w:pPr>
      <w:r>
        <w:rPr>
          <w:rFonts w:ascii="Arial" w:cs="Arial" w:eastAsia="Arial" w:hAnsi="Arial"/>
          <w:b/>
          <w:bCs/>
          <w:color w:val="0f3460"/>
          <w:sz w:val="22"/>
          <w:szCs w:val="22"/>
        </w:rPr>
        <w:t xml:space="preserve">Gender Equality, Human Rights, and Environment</w:t>
      </w:r>
    </w:p>
    <w:p>
      <w:pPr>
        <w:spacing w:before="0" w:after="120"/>
      </w:pPr>
      <w:r>
        <w:rPr>
          <w:rFonts w:ascii="Arial" w:cs="Arial" w:eastAsia="Arial" w:hAnsi="Arial"/>
          <w:b w:val="false"/>
          <w:bCs w:val="false"/>
          <w:i w:val="false"/>
          <w:iCs w:val="false"/>
          <w:color w:val="111111"/>
          <w:sz w:val="22"/>
          <w:szCs w:val="22"/>
        </w:rPr>
        <w:t xml:space="preserve">The GSRT does not add gender equality to an existing framework. It is structurally embedded. The 40% constitutional participant floor protects women workers from fund redirection at every level of the cascade. The GOLD Mother-Elder certification creates paid, honoured institutional roles for women elders currently providing community care without economic recognition. CEP Tier 1 hardware (wristband form factor) requires zero literacy — eliminating the most common barrier to women's technology participation across all three countries. The Lighthouse Resilience Programme addresses vicarious trauma and moral injury specifically — occupational hazards borne disproportionately by women in care roles. These align directly with Canada's Feminist International Assistance Policy.</w:t>
      </w:r>
    </w:p>
    <w:p>
      <w:pPr>
        <w:spacing w:before="0" w:after="120"/>
      </w:pPr>
      <w:r>
        <w:rPr>
          <w:rFonts w:ascii="Arial" w:cs="Arial" w:eastAsia="Arial" w:hAnsi="Arial"/>
          <w:b w:val="false"/>
          <w:bCs w:val="false"/>
          <w:i w:val="false"/>
          <w:iCs w:val="false"/>
          <w:color w:val="111111"/>
          <w:sz w:val="22"/>
          <w:szCs w:val="22"/>
        </w:rPr>
        <w:t xml:space="preserve">Human rights: UNDRIP Articles 21 and 26 are given concrete economic mechanisms for the first time — not reference, architecture. Free, prior, and informed consent is a governance requirement that stops the programme if not met. TEK is permanently protected. The Hodge Gate requires unanimous institutional consensus for any structural change — named for Frederick Joseph Hodge, 50 years of faithful stewardship between Catholic education and Ontario government.</w:t>
      </w:r>
    </w:p>
    <w:p>
      <w:pPr>
        <w:spacing w:before="0" w:after="120"/>
      </w:pPr>
      <w:r>
        <w:rPr>
          <w:rFonts w:ascii="Arial" w:cs="Arial" w:eastAsia="Arial" w:hAnsi="Arial"/>
          <w:b w:val="false"/>
          <w:bCs w:val="false"/>
          <w:i w:val="false"/>
          <w:iCs w:val="false"/>
          <w:color w:val="111111"/>
          <w:sz w:val="22"/>
          <w:szCs w:val="22"/>
        </w:rPr>
        <w:t xml:space="preserve">Environment: Ecological restoration is the primary economic output, not a programme component. Every dollar of GSRT revenue is generated by verified restoration. Human flourishing and ecological restoration are the same activity in this architecture — not parallel tracks.</w:t>
      </w:r>
    </w:p>
    <w:p>
      <w:pPr>
        <w:spacing w:before="200" w:after="80"/>
      </w:pPr>
      <w:r>
        <w:rPr>
          <w:rFonts w:ascii="Arial" w:cs="Arial" w:eastAsia="Arial" w:hAnsi="Arial"/>
          <w:b/>
          <w:bCs/>
          <w:color w:val="0f3460"/>
          <w:sz w:val="22"/>
          <w:szCs w:val="22"/>
        </w:rPr>
        <w:t xml:space="preserve">Risks and Mitigation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 — built into architecture</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Institutional capture</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Lest We Forget Gate monitors all partners for extraction patterns. Hodge Gate: consensus of three required for structural change. 90-day Stop/Adjust: no node fails silently.</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Justice Floor erosion</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40% participant floor hardcoded in Nodal Sovereignty MOU — not a policy, an architectural constraint. Cannot be redirected by any partner including Framework Architect.</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Pilot revenue shortfall</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Aquifer reserves maintain participant income during any shortfall period. Reverse Revenue Calculation ensures worker income defines minimum viable revenue — dignity first.</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Data sovereignty breach</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Saint Christopher Handshake: anonymous by default, TEK permanently excluded, revocable consent, mutual observation only. Lest We Forget Gate performs secondary integrity pass.</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Key person dependency</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protocols documented in 18-document library independently of Framework Architect. Hodge Gate cannot be triggered by Architect alone. Firmware Manual v3 fully self-executing.</w:t>
            </w:r>
          </w:p>
        </w:tc>
      </w:tr>
      <w:tr>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8B0000"/>
                <w:sz w:val="20"/>
                <w:szCs w:val="20"/>
              </w:rPr>
              <w:t xml:space="preserve">Indigenous partnership deterioration</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Prodigal Son Protocol: any community can pause or exit without penalty, judgment, or loss of governance position. The door is always open. Always.</w:t>
            </w:r>
          </w:p>
        </w:tc>
      </w:tr>
    </w:tbl>
    <w:p>
      <w:pPr>
        <w:spacing w:before="200" w:after="80"/>
      </w:pPr>
      <w:r>
        <w:rPr>
          <w:rFonts w:ascii="Arial" w:cs="Arial" w:eastAsia="Arial" w:hAnsi="Arial"/>
          <w:b/>
          <w:bCs/>
          <w:color w:val="0f3460"/>
          <w:sz w:val="22"/>
          <w:szCs w:val="22"/>
        </w:rPr>
        <w:t xml:space="preserve">Innovation</w:t>
      </w:r>
    </w:p>
    <w:p>
      <w:pPr>
        <w:spacing w:before="0" w:after="120"/>
      </w:pPr>
      <w:r>
        <w:rPr>
          <w:rFonts w:ascii="Arial" w:cs="Arial" w:eastAsia="Arial" w:hAnsi="Arial"/>
          <w:b w:val="false"/>
          <w:bCs w:val="false"/>
          <w:i w:val="false"/>
          <w:iCs w:val="false"/>
          <w:color w:val="111111"/>
          <w:sz w:val="22"/>
          <w:szCs w:val="22"/>
        </w:rPr>
        <w:t xml:space="preserve">Independent cold assessment by Google Gemini and Microsoft Copilot (February 2026) returned H-6/6 — Historically Unprecedented: no directly comparable published or institutional equivalents identified. Specific innovations: (1) Repayment through documented cost savings — not loan repayment, not revenue sharing, structural within waterfall; (2) Justice Floor applied simultaneously at every cascade engine — mathematical guarantee of 80% local retention at every level; (3) VVV antifragility constant (3.16875): ΔS_system = −0.23025 — the system gains order as external chaos rises; (4) CEP neurochemical literacy as measurable occupational health output generating biological ground truth at planetary scale; (5) AI Halo IRF aligned using authentic human flourishing data rather than proxy engagement signals.</w:t>
      </w:r>
    </w:p>
    <w:p>
      <w:pPr>
        <w:pageBreakBefore/>
      </w:pPr>
      <w:r>
        <w:rPr>
          <w:rFonts w:ascii="Arial" w:cs="Arial" w:eastAsia="Arial" w:hAnsi="Arial"/>
          <w:sz w:val="4"/>
          <w:szCs w:val="4"/>
        </w:rPr>
        <w:t xml:space="preserve"/>
      </w:r>
    </w:p>
    <w:p>
      <w:pPr>
        <w:pBdr>
          <w:bottom w:val="single" w:color="B8860B" w:sz="4" w:space="1"/>
        </w:pBdr>
        <w:spacing w:before="280" w:after="120"/>
      </w:pPr>
      <w:r>
        <w:rPr>
          <w:rFonts w:ascii="Arial" w:cs="Arial" w:eastAsia="Arial" w:hAnsi="Arial"/>
          <w:b/>
          <w:bCs/>
          <w:color w:val="1F4E79"/>
          <w:sz w:val="24"/>
          <w:szCs w:val="24"/>
        </w:rPr>
        <w:t xml:space="preserve">Section 3 — Organization Capacity</w:t>
      </w:r>
    </w:p>
    <w:p>
      <w:pPr>
        <w:spacing w:before="0" w:after="80"/>
      </w:pPr>
      <w:r>
        <w:rPr>
          <w:rFonts w:ascii="Arial" w:cs="Arial" w:eastAsia="Arial" w:hAnsi="Arial"/>
          <w:b w:val="false"/>
          <w:bCs w:val="false"/>
          <w:i/>
          <w:iCs/>
          <w:color w:val="999999"/>
          <w:sz w:val="22"/>
          <w:szCs w:val="22"/>
        </w:rPr>
        <w:t xml:space="preserve">Approx. 500 words per GAC guidance.</w:t>
      </w:r>
    </w:p>
    <w:p>
      <w:pPr>
        <w:spacing w:before="0" w:after="120"/>
      </w:pPr>
      <w:r>
        <w:rPr>
          <w:rFonts w:ascii="Arial" w:cs="Arial" w:eastAsia="Arial" w:hAnsi="Arial"/>
          <w:b w:val="false"/>
          <w:bCs w:val="false"/>
          <w:i w:val="false"/>
          <w:iCs w:val="false"/>
          <w:color w:val="111111"/>
          <w:sz w:val="22"/>
          <w:szCs w:val="22"/>
        </w:rPr>
        <w:t xml:space="preserve">GSRT is governed by a 33/33/33/1% tripartite structure. Framework Architect Neil J. Schwab holds 1% — transparent, capped, tied exclusively to active service. All structural decisions require consensus of all three institutional partners.</w:t>
      </w:r>
    </w:p>
    <w:p>
      <w:pPr>
        <w:spacing w:before="200" w:after="80"/>
      </w:pPr>
      <w:r>
        <w:rPr>
          <w:rFonts w:ascii="Arial" w:cs="Arial" w:eastAsia="Arial" w:hAnsi="Arial"/>
          <w:b/>
          <w:bCs/>
          <w:color w:val="0f3460"/>
          <w:sz w:val="22"/>
          <w:szCs w:val="22"/>
        </w:rPr>
        <w:t xml:space="preserve">Framework Architect — Four Technical and Human Services Domains</w:t>
      </w:r>
    </w:p>
    <w:p>
      <w:pPr>
        <w:spacing w:before="0" w:after="120"/>
      </w:pPr>
      <w:r>
        <w:rPr>
          <w:rFonts w:ascii="Arial" w:cs="Arial" w:eastAsia="Arial" w:hAnsi="Arial"/>
          <w:b w:val="false"/>
          <w:bCs w:val="false"/>
          <w:i w:val="false"/>
          <w:iCs w:val="false"/>
          <w:color w:val="111111"/>
          <w:sz w:val="22"/>
          <w:szCs w:val="22"/>
        </w:rPr>
        <w:t xml:space="preserve">Technical systems design: Tool and Die certification; AutoCAD and Inventor 3D mechanical design; NFPA and ULC life-safety compliance; mechanical systems engineering for custom emergency vehicles (approximately 14 per year, from concept through production). This training produces one foundational discipline: design systems so they do not fail, and when they might, build the redundancy in. That standard is applied directly to the Watershed architecture — the 40% floor, the Hodge Gate, the VVV Gate, the 90-day rule are all failure-mode protections built into load-bearing structure.</w:t>
      </w:r>
    </w:p>
    <w:p>
      <w:pPr>
        <w:spacing w:before="0" w:after="120"/>
      </w:pPr>
      <w:r>
        <w:rPr>
          <w:rFonts w:ascii="Arial" w:cs="Arial" w:eastAsia="Arial" w:hAnsi="Arial"/>
          <w:b w:val="false"/>
          <w:bCs w:val="false"/>
          <w:i w:val="false"/>
          <w:iCs w:val="false"/>
          <w:color w:val="111111"/>
          <w:sz w:val="22"/>
          <w:szCs w:val="22"/>
        </w:rPr>
        <w:t xml:space="preserve">Field service operations: Utility field operations across complex multi-stakeholder environments. Direct operational understanding of the physical restoration work CCGBI participants will perform, including NFPA inspection standards now embedded in the WHMIS Expansion Amendment.</w:t>
      </w:r>
    </w:p>
    <w:p>
      <w:pPr>
        <w:spacing w:before="0" w:after="120"/>
      </w:pPr>
      <w:r>
        <w:rPr>
          <w:rFonts w:ascii="Arial" w:cs="Arial" w:eastAsia="Arial" w:hAnsi="Arial"/>
          <w:b w:val="false"/>
          <w:bCs w:val="false"/>
          <w:i w:val="false"/>
          <w:iCs w:val="false"/>
          <w:color w:val="111111"/>
          <w:sz w:val="22"/>
          <w:szCs w:val="22"/>
        </w:rPr>
        <w:t xml:space="preserve">Consultative sales and institutional partnership: 25+ years automotive sales, approximately CAD $12M in transactions. This discipline — understanding what a person actually needs versus what they say they want, and building the trust required to deliver both — maps directly to the multi-party institutional negotiations, outcomes-based finance structuring, and long-term partnership development the GSRT requires at every level.</w:t>
      </w:r>
    </w:p>
    <w:p>
      <w:pPr>
        <w:spacing w:before="0" w:after="120"/>
      </w:pPr>
      <w:r>
        <w:rPr>
          <w:rFonts w:ascii="Arial" w:cs="Arial" w:eastAsia="Arial" w:hAnsi="Arial"/>
          <w:b w:val="false"/>
          <w:bCs w:val="false"/>
          <w:i w:val="false"/>
          <w:iCs w:val="false"/>
          <w:color w:val="111111"/>
          <w:sz w:val="22"/>
          <w:szCs w:val="22"/>
        </w:rPr>
        <w:t xml:space="preserve">Addiction and trauma services: Addiction Services Worker diploma, TriOS College — 92% GPA, current enrolment. Trauma-informed peer support. The framework's neurochemical architecture was not assembled from research — it was built inside lived experience as a single father of three daughters and refined through clinical training. The CAD $120,000 Limbic Prison composite is not a projection. It is the documented cost of what happens when the environment is not changed.</w:t>
      </w:r>
    </w:p>
    <w:p>
      <w:pPr>
        <w:spacing w:before="200" w:after="80"/>
      </w:pPr>
      <w:r>
        <w:rPr>
          <w:rFonts w:ascii="Arial" w:cs="Arial" w:eastAsia="Arial" w:hAnsi="Arial"/>
          <w:b/>
          <w:bCs/>
          <w:color w:val="0f3460"/>
          <w:sz w:val="22"/>
          <w:szCs w:val="22"/>
        </w:rPr>
        <w:t xml:space="preserve">Kenya Field Validation — Comparable Scope</w:t>
      </w:r>
    </w:p>
    <w:p>
      <w:pPr>
        <w:spacing w:before="0" w:after="120"/>
      </w:pPr>
      <w:r>
        <w:rPr>
          <w:rFonts w:ascii="Arial" w:cs="Arial" w:eastAsia="Arial" w:hAnsi="Arial"/>
          <w:b w:val="false"/>
          <w:bCs w:val="false"/>
          <w:i w:val="false"/>
          <w:iCs w:val="false"/>
          <w:color w:val="111111"/>
          <w:sz w:val="22"/>
          <w:szCs w:val="22"/>
        </w:rPr>
        <w:t xml:space="preserve">Thirty workers. Zero government direction. Zero institutional support. Zero framework documentation at time of operation. Over 500,000 tonnes of waste cleared. Documented cascade value: CAD $2.93 billion. Government cost: zero. The workers organized themselves under restoration logic the Framework Architect had not yet formalized in writing. The framework worked before it was written down. Kenya demonstrates three things no concept note can otherwise prove: the architecture functions without institutional scaffolding; cascade value exceeds projections at minimum operational scale; and the five-year repayment timeline is conservative — field data supports three years.</w:t>
      </w:r>
    </w:p>
    <w:p>
      <w:pPr>
        <w:spacing w:before="200" w:after="80"/>
      </w:pPr>
      <w:r>
        <w:rPr>
          <w:rFonts w:ascii="Arial" w:cs="Arial" w:eastAsia="Arial" w:hAnsi="Arial"/>
          <w:b/>
          <w:bCs/>
          <w:color w:val="0f3460"/>
          <w:sz w:val="22"/>
          <w:szCs w:val="22"/>
        </w:rPr>
        <w:t xml:space="preserve">Institutional Acknowledgment and Alignment — February 2026</w:t>
      </w:r>
    </w:p>
    <w:p>
      <w:pPr>
        <w:spacing w:before="0" w:after="120"/>
      </w:pPr>
      <w:r>
        <w:rPr>
          <w:rFonts w:ascii="Arial" w:cs="Arial" w:eastAsia="Arial" w:hAnsi="Arial"/>
          <w:b w:val="false"/>
          <w:bCs w:val="false"/>
          <w:i w:val="false"/>
          <w:iCs w:val="false"/>
          <w:color w:val="111111"/>
          <w:sz w:val="22"/>
          <w:szCs w:val="22"/>
        </w:rPr>
        <w:t xml:space="preserve">Following unsolicited submission of the complete GSRT framework to Vatican, Prime Minister's Office, and Assembly of First Nations in February 2026, acknowledgment responses were received from both Vatican and PMO within four days. Independent institutional alignment documented in late 2025 without GSRT coordination: Vatican returned 62 Indigenous cultural artifacts to Canada; Government of Canada announced CAD $19.6M in Indigenous climate investments. This convergence is evidence of genuine systemic readiness.</w:t>
      </w:r>
    </w:p>
    <w:p>
      <w:pPr>
        <w:spacing w:before="0" w:after="120"/>
      </w:pPr>
      <w:r>
        <w:rPr>
          <w:rFonts w:ascii="Arial" w:cs="Arial" w:eastAsia="Arial" w:hAnsi="Arial"/>
          <w:b w:val="false"/>
          <w:bCs w:val="false"/>
          <w:i w:val="false"/>
          <w:iCs w:val="false"/>
          <w:color w:val="111111"/>
          <w:sz w:val="22"/>
          <w:szCs w:val="22"/>
        </w:rPr>
        <w:t xml:space="preserve">Complete GSRT framework: 18 audit-ready documents including Master Manual (integrated, 30 sections + 3 appendices + 3 supplementary manuals), Monetary Watershed Manual, Complete Mathematics Manual, School Integration Manual, Firmware Manual v3, Technology Integration Brief, Glossary, Operator's Manual, WHMIS Expansion Amendment (submitted Health Canada February 22, 2026), Citations and Evidence Addendum, Third Party Verification Manifest (H-6/6), three Partner Synopses, five engineering drawings (180 DPI). All available for full due diligence review.</w:t>
      </w:r>
    </w:p>
    <w:p>
      <w:pPr>
        <w:pageBreakBefore/>
      </w:pPr>
      <w:r>
        <w:rPr>
          <w:rFonts w:ascii="Arial" w:cs="Arial" w:eastAsia="Arial" w:hAnsi="Arial"/>
          <w:sz w:val="4"/>
          <w:szCs w:val="4"/>
        </w:rPr>
        <w:t xml:space="preserve"/>
      </w:r>
    </w:p>
    <w:p>
      <w:pPr>
        <w:pBdr>
          <w:bottom w:val="single" w:color="B8860B" w:sz="4" w:space="1"/>
        </w:pBdr>
        <w:spacing w:before="280" w:after="120"/>
      </w:pPr>
      <w:r>
        <w:rPr>
          <w:rFonts w:ascii="Arial" w:cs="Arial" w:eastAsia="Arial" w:hAnsi="Arial"/>
          <w:b/>
          <w:bCs/>
          <w:color w:val="1F4E79"/>
          <w:sz w:val="24"/>
          <w:szCs w:val="24"/>
        </w:rPr>
        <w:t xml:space="preserve">Annex A — Innovative Finance (CRC Pilot) — Mandatory</w:t>
      </w:r>
    </w:p>
    <w:p>
      <w:pPr>
        <w:spacing w:before="0" w:after="80"/>
      </w:pPr>
      <w:r>
        <w:rPr>
          <w:rFonts w:ascii="Arial" w:cs="Arial" w:eastAsia="Arial" w:hAnsi="Arial"/>
          <w:b w:val="false"/>
          <w:bCs w:val="false"/>
          <w:i/>
          <w:iCs/>
          <w:color w:val="999999"/>
          <w:sz w:val="22"/>
          <w:szCs w:val="22"/>
        </w:rPr>
        <w:t xml:space="preserve">Approx. 500 words. All eight CRC pilot criteria answered YES.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2280"/>
      </w:tblGrid>
      <w:tr>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CRC Pilot Question</w:t>
            </w:r>
          </w:p>
        </w:tc>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the proposed project result in revenues or an increase in value?</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6b2a"/>
                <w:sz w:val="20"/>
                <w:szCs w:val="20"/>
              </w:rPr>
              <w:t xml:space="preserve">YES</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0f3460"/>
                <w:sz w:val="20"/>
                <w:szCs w:val="20"/>
              </w:rPr>
              <w:t xml:space="preserve">WM Sections 4–5</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Will funding be used to make investments for attaining development results?</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6b2a"/>
                <w:sz w:val="20"/>
                <w:szCs w:val="20"/>
              </w:rPr>
              <w:t xml:space="preserve">YES</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0f3460"/>
                <w:sz w:val="20"/>
                <w:szCs w:val="20"/>
              </w:rPr>
              <w:t xml:space="preserve">CN Section 2</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Does the project support loan portfolios or loan portfolio guarantees?</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6b2a"/>
                <w:sz w:val="20"/>
                <w:szCs w:val="20"/>
              </w:rPr>
              <w:t xml:space="preserve">YES</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0f3460"/>
                <w:sz w:val="20"/>
                <w:szCs w:val="20"/>
              </w:rPr>
              <w:t xml:space="preserve">WM Section 4 — Aquifer</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 you have a proven track record?</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6b2a"/>
                <w:sz w:val="20"/>
                <w:szCs w:val="20"/>
              </w:rPr>
              <w:t xml:space="preserve">YES</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0f3460"/>
                <w:sz w:val="20"/>
                <w:szCs w:val="20"/>
              </w:rPr>
              <w:t xml:space="preserve">Kenya pilot — zero cost</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Demonstrated programming and risk management experience in innovative finance?</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6b2a"/>
                <w:sz w:val="20"/>
                <w:szCs w:val="20"/>
              </w:rPr>
              <w:t xml:space="preserve">YES</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0f3460"/>
                <w:sz w:val="20"/>
                <w:szCs w:val="20"/>
              </w:rPr>
              <w:t xml:space="preserve">Architect credentials</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Can your balance sheet accommodate size and scope of proposed project?</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6b2a"/>
                <w:sz w:val="20"/>
                <w:szCs w:val="20"/>
              </w:rPr>
              <w:t xml:space="preserve">YES</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0f3460"/>
                <w:sz w:val="20"/>
                <w:szCs w:val="20"/>
              </w:rPr>
              <w:t xml:space="preserve">Church in-kind + FN land</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Does your project include a financial contribution for the CRC component?</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6b2a"/>
                <w:sz w:val="20"/>
                <w:szCs w:val="20"/>
              </w:rPr>
              <w:t xml:space="preserve">YES</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0f3460"/>
                <w:sz w:val="20"/>
                <w:szCs w:val="20"/>
              </w:rPr>
              <w:t xml:space="preserve">33/33/33 + in-kind</w:t>
            </w:r>
          </w:p>
        </w:tc>
      </w:tr>
      <w:tr>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Are you requesting between $5M and $20M for the CRC/innovative finance component?</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6b2a"/>
                <w:sz w:val="20"/>
                <w:szCs w:val="20"/>
              </w:rPr>
              <w:t xml:space="preserve">YES</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val="false"/>
                <w:bCs w:val="false"/>
                <w:color w:val="0f3460"/>
                <w:sz w:val="20"/>
                <w:szCs w:val="20"/>
              </w:rPr>
              <w:t xml:space="preserve">CAD $18.5M</w:t>
            </w:r>
          </w:p>
        </w:tc>
      </w:tr>
    </w:tbl>
    <w:p>
      <w:pPr>
        <w:spacing w:before="200" w:after="80"/>
      </w:pPr>
      <w:r>
        <w:rPr>
          <w:rFonts w:ascii="Arial" w:cs="Arial" w:eastAsia="Arial" w:hAnsi="Arial"/>
          <w:b/>
          <w:bCs/>
          <w:color w:val="0f3460"/>
          <w:sz w:val="22"/>
          <w:szCs w:val="22"/>
        </w:rPr>
        <w:t xml:space="preserve">CRC.1 — Revenue-Generating Activities</w:t>
      </w:r>
    </w:p>
    <w:p>
      <w:pPr>
        <w:spacing w:before="0" w:after="120"/>
      </w:pPr>
      <w:r>
        <w:rPr>
          <w:rFonts w:ascii="Arial" w:cs="Arial" w:eastAsia="Arial" w:hAnsi="Arial"/>
          <w:b w:val="false"/>
          <w:bCs w:val="false"/>
          <w:i w:val="false"/>
          <w:iCs w:val="false"/>
          <w:color w:val="111111"/>
          <w:sz w:val="22"/>
          <w:szCs w:val="22"/>
        </w:rPr>
        <w:t xml:space="preserve">Three primary revenue streams: (1) Government and institutional purchase of verified ecological credits — waterway remediation, wetland restoration, waste processing, and flood prevention assets purchased by Government of Canada as anchor customer; (2) Land value appreciation on adjacent properties — minimum 30% conservative floor (Wharton School / PA Environment Digest); (3) Documented government cost savings from Limbic Prison exits — CAD $185,000 swing per person per year ($120,000 cost avoided + $65,000 productivity contribution). The CRC seed of CAD $18.5M is repaid from these streams within five years. Repayment is structural within the waterfall — not conditional on bilateral negotiation.</w:t>
      </w:r>
    </w:p>
    <w:p>
      <w:pPr>
        <w:spacing w:before="200" w:after="80"/>
      </w:pPr>
      <w:r>
        <w:rPr>
          <w:rFonts w:ascii="Arial" w:cs="Arial" w:eastAsia="Arial" w:hAnsi="Arial"/>
          <w:b/>
          <w:bCs/>
          <w:color w:val="0f3460"/>
          <w:sz w:val="22"/>
          <w:szCs w:val="22"/>
        </w:rPr>
        <w:t xml:space="preserve">CRC.2 — Financial Instrument: Godspring Aquifer Structure</w:t>
      </w:r>
    </w:p>
    <w:p>
      <w:pPr>
        <w:spacing w:before="0" w:after="120"/>
      </w:pPr>
      <w:r>
        <w:rPr>
          <w:rFonts w:ascii="Arial" w:cs="Arial" w:eastAsia="Arial" w:hAnsi="Arial"/>
          <w:b w:val="false"/>
          <w:bCs w:val="false"/>
          <w:i w:val="false"/>
          <w:iCs w:val="false"/>
          <w:color w:val="111111"/>
          <w:sz w:val="22"/>
          <w:szCs w:val="22"/>
        </w:rPr>
        <w:t xml:space="preserve">GAC seeds the Godspring (CAD $18.5M). Restoration revenue enters primary waterfall and flows through 20/40/20/10/10 Justice Floor. Both 10% secondary streams feed independent engines from Day 1. Each engine splits 50/50: 50% to Aquifer recharge and seed repayment; 50% to Four Civilizational Streams. Aquifer fills from both engines simultaneously. At Year 5: 0.50R = $18.5M — seed fully repaid. Repayment obligation is documented in the Nodal Sovereignty MOU and governed by the Hodge Gate. Portfolio approach: GSRT operates as a watershed node network — Canada, Kenya, and India nodes each generate independent verified outputs and service the Aquifer through their own restoration revenue.</w:t>
      </w:r>
    </w:p>
    <w:p>
      <w:pPr>
        <w:spacing w:before="200" w:after="80"/>
      </w:pPr>
      <w:r>
        <w:rPr>
          <w:rFonts w:ascii="Arial" w:cs="Arial" w:eastAsia="Arial" w:hAnsi="Arial"/>
          <w:b/>
          <w:bCs/>
          <w:color w:val="0f3460"/>
          <w:sz w:val="22"/>
          <w:szCs w:val="22"/>
        </w:rPr>
        <w:t xml:space="preserve">CRC.3 — Experience Managing Innovative Finance</w:t>
      </w:r>
    </w:p>
    <w:p>
      <w:pPr>
        <w:spacing w:before="0" w:after="120"/>
      </w:pPr>
      <w:r>
        <w:rPr>
          <w:rFonts w:ascii="Arial" w:cs="Arial" w:eastAsia="Arial" w:hAnsi="Arial"/>
          <w:b w:val="false"/>
          <w:bCs w:val="false"/>
          <w:i w:val="false"/>
          <w:iCs w:val="false"/>
          <w:color w:val="111111"/>
          <w:sz w:val="22"/>
          <w:szCs w:val="22"/>
        </w:rPr>
        <w:t xml:space="preserve">Kenya proof of concept: zero institutional support, 30 workers, 500,000+ tonnes cleared, CAD $2.93 billion documented cascade value — fundamental demonstration that restoration economy architecture self-finances at scale without government scaffolding. Framework Architect brings 25+ years multi-party contract design, consultative sales, and outcomes-based value delivery. Formal GSRT fiduciary structures in development with institutional legal counsel; complete documentation provided at proposal stage.</w:t>
      </w:r>
    </w:p>
    <w:p>
      <w:pPr>
        <w:spacing w:before="200" w:after="80"/>
      </w:pPr>
      <w:r>
        <w:rPr>
          <w:rFonts w:ascii="Arial" w:cs="Arial" w:eastAsia="Arial" w:hAnsi="Arial"/>
          <w:b/>
          <w:bCs/>
          <w:color w:val="0f3460"/>
          <w:sz w:val="22"/>
          <w:szCs w:val="22"/>
        </w:rPr>
        <w:t xml:space="preserve">CRC.4 — Financial Capacity</w:t>
      </w:r>
    </w:p>
    <w:p>
      <w:pPr>
        <w:spacing w:before="0" w:after="120"/>
      </w:pPr>
      <w:r>
        <w:rPr>
          <w:rFonts w:ascii="Arial" w:cs="Arial" w:eastAsia="Arial" w:hAnsi="Arial"/>
          <w:b w:val="false"/>
          <w:bCs w:val="false"/>
          <w:i w:val="false"/>
          <w:iCs w:val="false"/>
          <w:color w:val="111111"/>
          <w:sz w:val="22"/>
          <w:szCs w:val="22"/>
        </w:rPr>
        <w:t xml:space="preserve">Three pillars eliminate conventional capital constraints: Catholic Church in-kind contribution (estimated value exceeding CAD $50M in pilot jurisdictions) substantially reduces infrastructure requirements; First Nations sovereign land authority eliminates land acquisition costs entirely; waterfall architecture is self-capitalizing from first restoration revenue dollar. GAC's CAD $18.5M seeds a system that requires no additional capitalization. Financial statements and legal entity documentation provided at proposal stage per GAC standard requirements.</w:t>
      </w:r>
    </w:p>
    <w:p>
      <w:pPr>
        <w:spacing w:before="200" w:after="80"/>
      </w:pPr>
      <w:r>
        <w:rPr>
          <w:rFonts w:ascii="Arial" w:cs="Arial" w:eastAsia="Arial" w:hAnsi="Arial"/>
          <w:b/>
          <w:bCs/>
          <w:color w:val="0f3460"/>
          <w:sz w:val="22"/>
          <w:szCs w:val="22"/>
        </w:rPr>
        <w:t xml:space="preserve">CRC.5 — Risk Sharing</w:t>
      </w:r>
    </w:p>
    <w:p>
      <w:pPr>
        <w:spacing w:before="0" w:after="120"/>
      </w:pPr>
      <w:r>
        <w:rPr>
          <w:rFonts w:ascii="Arial" w:cs="Arial" w:eastAsia="Arial" w:hAnsi="Arial"/>
          <w:b w:val="false"/>
          <w:bCs w:val="false"/>
          <w:i w:val="false"/>
          <w:iCs w:val="false"/>
          <w:color w:val="111111"/>
          <w:sz w:val="22"/>
          <w:szCs w:val="22"/>
        </w:rPr>
        <w:t xml:space="preserve">Risk distributed across all four partners by architecture: GSRT contributes full intellectual property; Catholic Church contributes infrastructure and global network; First Nations contribute land authority, TEK, and governance; Government contributes seed investment and regulatory facilitation. 5% cost-sharing requirement exceeded substantially. VVV antifragility architecture (constant 3.16875) ensures the system compounds rather than deteriorates under adverse conditions: ΔS_system = 0.15 − (3.16875 × 0.12) = −0.23025. Negative entropy — the system gains structure as external pressure rises.</w:t>
      </w:r>
    </w:p>
    <w:p>
      <w:pPr>
        <w:spacing w:before="200" w:after="80"/>
      </w:pPr>
      <w:r>
        <w:rPr>
          <w:rFonts w:ascii="Arial" w:cs="Arial" w:eastAsia="Arial" w:hAnsi="Arial"/>
          <w:b/>
          <w:bCs/>
          <w:color w:val="0f3460"/>
          <w:sz w:val="22"/>
          <w:szCs w:val="22"/>
        </w:rPr>
        <w:t xml:space="preserve">CRC — Funding Value</w:t>
      </w:r>
    </w:p>
    <w:p>
      <w:pPr>
        <w:spacing w:before="0" w:after="120"/>
      </w:pPr>
      <w:r>
        <w:rPr>
          <w:rFonts w:ascii="Arial" w:cs="Arial" w:eastAsia="Arial" w:hAnsi="Arial"/>
          <w:b w:val="false"/>
          <w:bCs w:val="false"/>
          <w:i w:val="false"/>
          <w:iCs w:val="false"/>
          <w:color w:val="111111"/>
          <w:sz w:val="22"/>
          <w:szCs w:val="22"/>
        </w:rPr>
        <w:t xml:space="preserve">Total: CAD $18,500,000. Innovative finance / CRC component: CAD $18,500,000 (full amount — all funding flows through Godspring Watershed, all subject to outcomes-based repayment). Non-repayable component: $0. Every dollar is conditionally repayable through documented restoration revenue and government cost savings. No charitable transfer.</w:t>
      </w:r>
    </w:p>
    <w:p>
      <w:pPr>
        <w:pageBreakBefore/>
      </w:pPr>
      <w:r>
        <w:rPr>
          <w:rFonts w:ascii="Arial" w:cs="Arial" w:eastAsia="Arial" w:hAnsi="Arial"/>
          <w:sz w:val="4"/>
          <w:szCs w:val="4"/>
        </w:rPr>
        <w:t xml:space="preserve"/>
      </w:r>
    </w:p>
    <w:p>
      <w:pPr>
        <w:pBdr>
          <w:bottom w:val="single" w:color="B8860B" w:sz="4" w:space="1"/>
        </w:pBdr>
        <w:spacing w:before="280" w:after="120"/>
      </w:pPr>
      <w:r>
        <w:rPr>
          <w:rFonts w:ascii="Arial" w:cs="Arial" w:eastAsia="Arial" w:hAnsi="Arial"/>
          <w:b/>
          <w:bCs/>
          <w:color w:val="1F4E79"/>
          <w:sz w:val="24"/>
          <w:szCs w:val="24"/>
        </w:rPr>
        <w:t xml:space="preserve">Annex B — Preliminary Logic Model (1-page maximum per GAC guidance)</w:t>
      </w:r>
    </w:p>
    <w:p>
      <w:pPr>
        <w:spacing w:before="0" w:after="80"/>
      </w:pPr>
      <w:r>
        <w:rPr>
          <w:rFonts w:ascii="Arial" w:cs="Arial" w:eastAsia="Arial" w:hAnsi="Arial"/>
          <w:b w:val="false"/>
          <w:bCs w:val="false"/>
          <w:i/>
          <w:iCs/>
          <w:color w:val="999999"/>
          <w:sz w:val="22"/>
          <w:szCs w:val="22"/>
        </w:rPr>
        <w:t xml:space="preserve">Outcomes and results only — no outputs per GAC guidance at concept note stage.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440"/>
        <w:gridCol w:w="3840"/>
      </w:tblGrid>
      <w:tr>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 Statement</w:t>
            </w:r>
          </w:p>
        </w:tc>
        <w:tc>
          <w:tcPr>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 / Measurement Approach</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ULTIMATE
OUTCOME</w:t>
            </w:r>
          </w:p>
        </w:tc>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sz w:val="20"/>
                <w:szCs w:val="20"/>
              </w:rPr>
              <w:t xml:space="preserve">Sovereign, self-sustaining restoration economies operating across First Nations and ODA-eligible communities — AI-resistant dignified livelihoods, ecological restoration at scale, neurochemical poverty eliminated — </w:t>
            </w:r>
            <w:r>
              <w:rPr>
                <w:rFonts w:ascii="Arial" w:cs="Arial" w:eastAsia="Arial" w:hAnsi="Arial"/>
                <w:b/>
                <w:bCs/>
                <w:sz w:val="20"/>
                <w:szCs w:val="20"/>
              </w:rPr>
              <w:t xml:space="preserve">zero government funding required from Year 6.</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a6b2a"/>
                <w:sz w:val="20"/>
                <w:szCs w:val="20"/>
              </w:rPr>
              <w:t xml:space="preserve">Godspring self-sustaining Year 6 confirmed. Zero government subsidy. Number of sovereign economies operational. Documented cost savings accumulated.</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1F4E79"/>
                <w:sz w:val="20"/>
                <w:szCs w:val="20"/>
              </w:rPr>
              <w:t xml:space="preserve">INTERMEDIATE
OUTCOME 1</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Verified CCGBI restoration workforce earning living wages with internationally portable WHMIS credentials. Disabled, sidelined, and excluded workers included at every tier through adapted roles.</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 workers enrolled and earning; credentials recognised across jurisdictions; % women in GOLD Mother-Elder roles; MRV-verified ecological outputs.</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1F4E79"/>
                <w:sz w:val="20"/>
                <w:szCs w:val="20"/>
              </w:rPr>
              <w:t xml:space="preserve">INTERMEDIATE
OUTCOME 2</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Neurochemical poverty measurably reduced. Burnout, vicarious trauma, and moral injury declining. Lighthouse Resilience Programme ROI confirmed.</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ProQOL / PSS / BAT / SAF / OCI pre/post validated; sick days documented; healthcare cost lines tracked; CAD $8.28 ROI confirmed per agency.</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1F4E79"/>
                <w:sz w:val="20"/>
                <w:szCs w:val="20"/>
              </w:rPr>
              <w:t xml:space="preserve">INTERMEDIATE
OUTCOME 3</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Verified ecological assets generating purchasable outcomes-based credits with land value appreciation and flood prevention advantage confirmed.</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Hectares restored; water quality panels; land value delta at or above 30%; flood events prevented; ecological credits purchased by anchor customer and market.</w:t>
            </w:r>
          </w:p>
        </w:tc>
      </w:tr>
      <w:tr>
        <w:tc>
          <w:tcPr>
            <w:tcBorders>
              <w:top w:val="single" w:color="CCCCCC" w:sz="1"/>
              <w:left w:val="single" w:color="CCCCCC" w:sz="1"/>
              <w:bottom w:val="single" w:color="CCCCCC" w:sz="1"/>
              <w:right w:val="single" w:color="CCCCCC" w:sz="1"/>
            </w:tcBorders>
            <w:shd w:fill="EFF4FF" w:val="clear"/>
            <w:tcMar>
              <w:top w:type="dxa" w:w="80"/>
              <w:left w:type="dxa" w:w="120"/>
              <w:bottom w:type="dxa" w:w="80"/>
              <w:right w:type="dxa" w:w="120"/>
            </w:tcMar>
          </w:tcPr>
          <w:p>
            <w:r>
              <w:rPr>
                <w:rFonts w:ascii="Arial" w:cs="Arial" w:eastAsia="Arial" w:hAnsi="Arial"/>
                <w:b/>
                <w:bCs/>
                <w:color w:val="1F4E79"/>
                <w:sz w:val="20"/>
                <w:szCs w:val="20"/>
              </w:rPr>
              <w:t xml:space="preserve">INTERMEDIATE
OUTCOME 4</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Godspring Watershed generating sufficient restoration revenue to service seed repayment by Year 5. Four Civilizational Streams funded from Day 1.</w:t>
            </w:r>
          </w:p>
        </w:tc>
        <w:tc>
          <w:tcPr>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55555"/>
                <w:sz w:val="20"/>
                <w:szCs w:val="20"/>
              </w:rPr>
              <w:t xml:space="preserve">Aquifer balance quarterly; both engines operational from Day 1; four rivers funded continuously; Year 5 repayment confirmed against $18.5M target.</w:t>
            </w:r>
          </w:p>
        </w:tc>
      </w:tr>
    </w:tbl>
    <w:p>
      <w:pPr>
        <w:pageBreakBefore/>
      </w:pPr>
      <w:r>
        <w:rPr>
          <w:rFonts w:ascii="Arial" w:cs="Arial" w:eastAsia="Arial" w:hAnsi="Arial"/>
          <w:sz w:val="4"/>
          <w:szCs w:val="4"/>
        </w:rPr>
        <w:t xml:space="preserve"/>
      </w:r>
    </w:p>
    <w:p>
      <w:pPr>
        <w:pBdr>
          <w:bottom w:val="single" w:color="B8860B" w:sz="4" w:space="1"/>
        </w:pBdr>
        <w:spacing w:before="280" w:after="120"/>
      </w:pPr>
      <w:r>
        <w:rPr>
          <w:rFonts w:ascii="Arial" w:cs="Arial" w:eastAsia="Arial" w:hAnsi="Arial"/>
          <w:b/>
          <w:bCs/>
          <w:color w:val="1F4E79"/>
          <w:sz w:val="24"/>
          <w:szCs w:val="24"/>
        </w:rPr>
        <w:t xml:space="preserve">Annex C — Flow of Funds Diagram</w:t>
      </w:r>
    </w:p>
    <w:p>
      <w:pPr>
        <w:spacing w:before="0" w:after="100"/>
      </w:pPr>
      <w:r>
        <w:rPr>
          <w:rFonts w:ascii="Arial" w:cs="Arial" w:eastAsia="Arial" w:hAnsi="Arial"/>
          <w:b w:val="false"/>
          <w:bCs w:val="false"/>
          <w:i/>
          <w:iCs/>
          <w:color w:val="999999"/>
          <w:sz w:val="22"/>
          <w:szCs w:val="22"/>
        </w:rPr>
        <w:t xml:space="preserve">All partners, intermediaries, roles, and fund flows between organizations. One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gridSpan w:val="5"/>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SOURCE — RESTORATION REVENUE  ·  100% Gross Input</w:t>
            </w:r>
          </w:p>
        </w:tc>
      </w:tr>
      <w:tr>
        <w:tc>
          <w:tcPr>
            <w:gridSpan w:val="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i/>
                <w:iCs/>
                <w:color w:val="555555"/>
                <w:sz w:val="17"/>
                <w:szCs w:val="17"/>
              </w:rPr>
              <w:t xml:space="preserve">CCGBI verified ecological credits (GOC anchor purchase)  ·  Land value appreciation  ·  CAD $120K–$185K Limbic Prison cost-savings per person</w:t>
            </w:r>
          </w:p>
        </w:tc>
      </w:tr>
      <w:tr>
        <w:tc>
          <w:tcPr>
            <w:gridSpan w:val="5"/>
            <w:tcBorders>
              <w:top w:val="single" w:color="CCCCCC" w:sz="1"/>
              <w:left w:val="single" w:color="CCCCCC" w:sz="1"/>
              <w:bottom w:val="single" w:color="CCCCCC" w:sz="1"/>
              <w:right w:val="single" w:color="CCCCCC" w:sz="1"/>
            </w:tcBorders>
            <w:shd w:fill="B8860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WATERFALL  ·  20/40/20/10/10 JUSTICE FLOOR  ·  80% stays local at every level — always</w:t>
            </w:r>
          </w:p>
        </w:tc>
      </w:tr>
      <w:tr>
        <w:tc>
          <w:tcPr>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20%
OPERATIONS
Platform · Admin
WHMIS Compliance</w:t>
            </w:r>
          </w:p>
        </w:tc>
        <w:tc>
          <w:tcPr>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r>
              <w:rPr>
                <w:rFonts w:ascii="Arial" w:cs="Arial" w:eastAsia="Arial" w:hAnsi="Arial"/>
                <w:b/>
                <w:bCs/>
                <w:color w:val="FFFFFF"/>
                <w:sz w:val="18"/>
                <w:szCs w:val="18"/>
              </w:rPr>
              <w:t xml:space="preserve">40%
PARTICIPANTS
Direct Income
Constitutional Floor
Never Redirected</w:t>
            </w:r>
          </w:p>
        </w:tc>
        <w:tc>
          <w:tcPr>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r>
              <w:rPr>
                <w:rFonts w:ascii="Arial" w:cs="Arial" w:eastAsia="Arial" w:hAnsi="Arial"/>
                <w:b/>
                <w:bCs/>
                <w:color w:val="1a1a1a"/>
                <w:sz w:val="18"/>
                <w:szCs w:val="18"/>
              </w:rPr>
              <w:t xml:space="preserve">20%
COMMUNITY
&amp; ELDERS
Stipends
Trusts</w:t>
            </w:r>
          </w:p>
        </w:tc>
        <w:tc>
          <w:tcPr>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r>
              <w:rPr>
                <w:rFonts w:ascii="Arial" w:cs="Arial" w:eastAsia="Arial" w:hAnsi="Arial"/>
                <w:b/>
                <w:bCs/>
                <w:color w:val="FFFFFF"/>
                <w:sz w:val="18"/>
                <w:szCs w:val="18"/>
              </w:rPr>
              <w:t xml:space="preserve">10%
PROGRESSION
STREAM
→ Engine 1</w:t>
            </w:r>
          </w:p>
        </w:tc>
        <w:tc>
          <w:tcPr>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r>
              <w:rPr>
                <w:rFonts w:ascii="Arial" w:cs="Arial" w:eastAsia="Arial" w:hAnsi="Arial"/>
                <w:b/>
                <w:bCs/>
                <w:color w:val="FFFFFF"/>
                <w:sz w:val="18"/>
                <w:szCs w:val="18"/>
              </w:rPr>
              <w:t xml:space="preserve">10%
SCALING
RESERVE
→ Engine 2</w:t>
            </w:r>
          </w:p>
        </w:tc>
      </w:tr>
      <w:tr>
        <w:tc>
          <w:tcPr>
            <w:gridSpan w:val="5"/>
            <w:tcBorders>
              <w:top w:val="single" w:color="CCCCCC" w:sz="1"/>
              <w:left w:val="single" w:color="CCCCCC" w:sz="1"/>
              <w:bottom w:val="single" w:color="CCCCCC" w:sz="1"/>
              <w:right w:val="single" w:color="CCCCCC" w:sz="1"/>
            </w:tcBorders>
            <w:shd w:fill="EEEEEE" w:val="clear"/>
            <w:tcMar>
              <w:top w:type="dxa" w:w="40"/>
              <w:left w:type="dxa" w:w="120"/>
              <w:bottom w:type="dxa" w:w="40"/>
              <w:right w:type="dxa" w:w="120"/>
            </w:tcMar>
          </w:tcPr>
          <w:p>
            <w:pPr>
              <w:jc w:val="center"/>
            </w:pPr>
            <w:r>
              <w:rPr>
                <w:rFonts w:ascii="Arial" w:cs="Arial" w:eastAsia="Arial" w:hAnsi="Arial"/>
                <w:b/>
                <w:bCs/>
                <w:color w:val="1F4E79"/>
                <w:sz w:val="17"/>
                <w:szCs w:val="17"/>
              </w:rPr>
              <w:t xml:space="preserve">Both 10% streams feed INDEPENDENT ENGINES simultaneously from Day 1  ·  Each engine runs full 20/40/20/10/10 Justice Floor</w:t>
            </w:r>
          </w:p>
        </w:tc>
      </w:tr>
      <w:tr>
        <w:tc>
          <w:tcPr>
            <w:gridSpan w:val="2"/>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ENGINE 1 — PROGRESSION ENGINE
50% → Aquifer + Seed Repayment
50% → Four Civilizational Streams</w:t>
            </w:r>
          </w:p>
        </w:tc>
        <w:tc>
          <w:tcPr>
            <w:gridSpan w:val="1"/>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1F4E79"/>
                <w:sz w:val="16"/>
                <w:szCs w:val="16"/>
              </w:rPr>
              <w:t xml:space="preserve">▼
SIMULTANEOUS
FROM DAY 1
▼</w:t>
            </w:r>
          </w:p>
        </w:tc>
        <w:tc>
          <w:tcPr>
            <w:gridSpan w:val="2"/>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ENGINE 2 — SCALING RESERVE ENGINE
50% → Aquifer + Seed Repayment
50% → Four Civilizational Streams</w:t>
            </w:r>
          </w:p>
        </w:tc>
      </w:tr>
      <w:tr>
        <w:tc>
          <w:tcPr>
            <w:gridSpan w:val="2"/>
            <w:tcBorders>
              <w:top w:val="single" w:color="CCCCCC" w:sz="1"/>
              <w:left w:val="single" w:color="CCCCCC" w:sz="1"/>
              <w:bottom w:val="single" w:color="CCCCCC" w:sz="1"/>
              <w:right w:val="single" w:color="CCCCCC" w:sz="1"/>
            </w:tcBorders>
            <w:shd w:fill="B8860B" w:val="clear"/>
            <w:tcMar>
              <w:top w:type="dxa" w:w="80"/>
              <w:left w:type="dxa" w:w="120"/>
              <w:bottom w:type="dxa" w:w="80"/>
              <w:right w:type="dxa" w:w="120"/>
            </w:tcMar>
          </w:tcPr>
          <w:p>
            <w:pPr>
              <w:jc w:val="center"/>
            </w:pPr>
            <w:r>
              <w:rPr>
                <w:rFonts w:ascii="Arial" w:cs="Arial" w:eastAsia="Arial" w:hAnsi="Arial"/>
                <w:b/>
                <w:bCs/>
                <w:color w:val="1a1a1a"/>
                <w:sz w:val="17"/>
                <w:szCs w:val="17"/>
              </w:rPr>
              <w:t xml:space="preserve">AQUIFER
Fills from both engines simultaneously
Aquifer = 0.10 × Gross Revenue
Year 5: 0.50R = CAD $18.5M
Seed fully repaid → Godspring rises</w:t>
            </w:r>
          </w:p>
        </w:tc>
        <w:tc>
          <w:tcPr>
            <w:gridSpan w:val="1"/>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pPr>
              <w:jc w:val="center"/>
            </w:pPr>
            <w:r>
              <w:rPr>
                <w:rFonts w:ascii="Arial" w:cs="Arial" w:eastAsia="Arial" w:hAnsi="Arial"/>
                <w:b/>
                <w:bCs/>
                <w:color w:val="1F4E79"/>
                <w:sz w:val="16"/>
                <w:szCs w:val="16"/>
              </w:rPr>
              <w:t xml:space="preserve">Funded
from
Day 1
▶</w:t>
            </w:r>
          </w:p>
        </w:tc>
        <w:tc>
          <w:tcPr>
            <w:gridSpan w:val="2"/>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FOUR CIVILIZATIONAL STREAMS
(Both engines · Day 1 · Perpetual)
Welfare River
Charity &amp; Reconciliation River
Space Exploration River
Animal Replenishment River</w:t>
            </w:r>
          </w:p>
        </w:tc>
      </w:tr>
      <w:tr>
        <w:tc>
          <w:tcPr>
            <w:gridSpan w:val="5"/>
            <w:tcBorders>
              <w:top w:val="single" w:color="CCCCCC" w:sz="1"/>
              <w:left w:val="single" w:color="CCCCCC" w:sz="1"/>
              <w:bottom w:val="single" w:color="CCCCCC" w:sz="1"/>
              <w:right w:val="single" w:color="CCCCCC" w:sz="1"/>
            </w:tcBorders>
            <w:shd w:fill="1a6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GODSPRING RISES — YEAR 6+  ·  CAD $0 GOVERNMENT FUNDING REQUIRED  ·  PERPETUAL SELF-SUSTAINING OPERATION</w:t>
            </w:r>
          </w:p>
        </w:tc>
      </w:tr>
      <w:tr>
        <w:tc>
          <w:tcPr>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r>
              <w:rPr>
                <w:rFonts w:ascii="Arial" w:cs="Arial" w:eastAsia="Arial" w:hAnsi="Arial"/>
                <w:b/>
                <w:bCs/>
                <w:color w:val="FFFFFF"/>
                <w:sz w:val="17"/>
                <w:szCs w:val="17"/>
              </w:rPr>
              <w:t xml:space="preserve">FIRST NATIONS
COG 1 — THE MUSCLE
33% governance + profit
Sovereign design authority
TEK protected absolutely
Veto over all land use
CCGBI workforce lead</w:t>
            </w:r>
          </w:p>
        </w:tc>
        <w:tc>
          <w:tcPr>
            <w:tcBorders>
              <w:top w:val="single" w:color="CCCCCC" w:sz="1"/>
              <w:left w:val="single" w:color="CCCCCC" w:sz="1"/>
              <w:bottom w:val="single" w:color="CCCCCC" w:sz="1"/>
              <w:right w:val="single" w:color="CCCCCC" w:sz="1"/>
            </w:tcBorders>
            <w:shd w:fill="5B2C8D" w:val="clear"/>
            <w:tcMar>
              <w:top w:type="dxa" w:w="80"/>
              <w:left w:type="dxa" w:w="120"/>
              <w:bottom w:type="dxa" w:w="80"/>
              <w:right w:type="dxa" w:w="120"/>
            </w:tcMar>
          </w:tcPr>
          <w:p>
            <w:r>
              <w:rPr>
                <w:rFonts w:ascii="Arial" w:cs="Arial" w:eastAsia="Arial" w:hAnsi="Arial"/>
                <w:b/>
                <w:bCs/>
                <w:color w:val="FFFFFF"/>
                <w:sz w:val="17"/>
                <w:szCs w:val="17"/>
              </w:rPr>
              <w:t xml:space="preserve">CATHOLIC CHURCH
COG 2 — THE HEART
33% governance + profit
In-kind infrastructure
Servant posture
TRC architecture
Atonement expressed</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GOVERNMENT OF CANADA
THE ANCHOR
33% governance + profit
CAD $18.5M seed
Anchor customer
Regulatory facilitation
Repaid in full Year 5</w:t>
            </w:r>
          </w:p>
        </w:tc>
        <w:tc>
          <w:tcPr>
            <w:tcBorders>
              <w:top w:val="single" w:color="CCCCCC" w:sz="1"/>
              <w:left w:val="single" w:color="CCCCCC" w:sz="1"/>
              <w:bottom w:val="single" w:color="CCCCCC" w:sz="1"/>
              <w:right w:val="single" w:color="CCCCCC" w:sz="1"/>
            </w:tcBorders>
            <w:shd w:fill="0097A7" w:val="clear"/>
            <w:tcMar>
              <w:top w:type="dxa" w:w="80"/>
              <w:left w:type="dxa" w:w="120"/>
              <w:bottom w:type="dxa" w:w="80"/>
              <w:right w:type="dxa" w:w="120"/>
            </w:tcMar>
          </w:tcPr>
          <w:p>
            <w:r>
              <w:rPr>
                <w:rFonts w:ascii="Arial" w:cs="Arial" w:eastAsia="Arial" w:hAnsi="Arial"/>
                <w:b/>
                <w:bCs/>
                <w:color w:val="FFFFFF"/>
                <w:sz w:val="17"/>
                <w:szCs w:val="17"/>
              </w:rPr>
              <w:t xml:space="preserve">BENEFICIARIES
CCGBI workers · Elders
First Nations communities
Kenyan restoration crews
India Ganges workers
Displaced AI workers
All ecosystem inhabitants</w:t>
            </w:r>
          </w:p>
        </w:tc>
        <w:tc>
          <w:tcPr>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rFonts w:ascii="Arial" w:cs="Arial" w:eastAsia="Arial" w:hAnsi="Arial"/>
                <w:b/>
                <w:bCs/>
                <w:color w:val="FFFFFF"/>
                <w:sz w:val="17"/>
                <w:szCs w:val="17"/>
              </w:rPr>
              <w:t xml:space="preserve">FRAMEWORK ARCHITECT
Neil J. Schwab · 1%
Intellectual property
Firmware maintenance
Transparent · Capped
Active service only
Hodge Gate cannot be
modified by Architect alone</w:t>
            </w:r>
          </w:p>
        </w:tc>
      </w:tr>
      <w:tr>
        <w:tc>
          <w:tcPr>
            <w:gridSpan w:val="5"/>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jc w:val="center"/>
            </w:pPr>
            <w:r>
              <w:rPr>
                <w:rFonts w:ascii="Arial" w:cs="Arial" w:eastAsia="Arial" w:hAnsi="Arial"/>
                <w:color w:val="CCCCCC"/>
                <w:sz w:val="17"/>
                <w:szCs w:val="17"/>
              </w:rPr>
              <w:t xml:space="preserve">GOVERNANCE FIREWALLS:  Hodge Gate (consensus of 3 required for structural change)  ·  Lest We Forget Gate (anti-capture)  ·  VVV Gate 3.16875 (antifragility)  ·  90-Day Stop/Adjust Rule  ·  Saint Christopher Handshake (data sovereignty)</w:t>
            </w:r>
          </w:p>
        </w:tc>
      </w:tr>
      <w:tr>
        <w:tc>
          <w:tcPr>
            <w:gridSpan w:val="5"/>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i/>
                <w:iCs/>
                <w:color w:val="555555"/>
                <w:sz w:val="17"/>
                <w:szCs w:val="17"/>
              </w:rPr>
              <w:t xml:space="preserve">INDEPENDENT VERIFICATION:  H-6/6 — Historically Unprecedented — Google Gemini + Microsoft Copilot cold assessment, February 2026  ·  Kenya field validation: 30 workers, zero direction, 500,000+ tonnes, CAD $2.93B cascade value, government cost $0</w:t>
            </w:r>
          </w:p>
        </w:tc>
      </w:tr>
    </w:tbl>
    <w:p>
      <w:pPr>
        <w:pBdr>
          <w:top w:val="single" w:color="B8860B" w:sz="4" w:space="1"/>
        </w:pBdr>
        <w:spacing w:before="360" w:after="80"/>
        <w:jc w:val="center"/>
      </w:pPr>
      <w:r>
        <w:rPr>
          <w:rFonts w:ascii="Georgia" w:cs="Georgia" w:eastAsia="Georgia" w:hAnsi="Georgia"/>
          <w:b/>
          <w:bCs/>
          <w:i/>
          <w:iCs/>
          <w:color w:val="1F4E79"/>
          <w:sz w:val="26"/>
          <w:szCs w:val="26"/>
        </w:rPr>
        <w:t xml:space="preserve">The children are watching. The land is waiting.</w:t>
      </w:r>
    </w:p>
    <w:p>
      <w:pPr>
        <w:spacing w:after="60"/>
        <w:jc w:val="center"/>
      </w:pPr>
      <w:r>
        <w:rPr>
          <w:rFonts w:ascii="Georgia" w:cs="Georgia" w:eastAsia="Georgia" w:hAnsi="Georgia"/>
          <w:i/>
          <w:iCs/>
          <w:color w:val="444444"/>
          <w:sz w:val="22"/>
          <w:szCs w:val="22"/>
        </w:rPr>
        <w:t xml:space="preserve">The ones who've been excluded are still here, still capable, still hoping someone will finally build a system that includes them.</w:t>
      </w:r>
    </w:p>
    <w:p>
      <w:pPr>
        <w:spacing w:after="60"/>
        <w:jc w:val="center"/>
      </w:pPr>
      <w:r>
        <w:rPr>
          <w:rFonts w:ascii="Georgia" w:cs="Georgia" w:eastAsia="Georgia" w:hAnsi="Georgia"/>
          <w:b/>
          <w:bCs/>
          <w:i/>
          <w:iCs/>
          <w:color w:val="1F4E79"/>
          <w:sz w:val="24"/>
          <w:szCs w:val="24"/>
        </w:rPr>
        <w:t xml:space="preserve">I'm building it. Will you come?</w:t>
      </w:r>
    </w:p>
    <w:p>
      <w:pPr>
        <w:spacing w:before="200" w:after="40"/>
        <w:jc w:val="center"/>
      </w:pPr>
      <w:r>
        <w:rPr>
          <w:rFonts w:ascii="Arial" w:cs="Arial" w:eastAsia="Arial" w:hAnsi="Arial"/>
          <w:b/>
          <w:bCs/>
          <w:color w:val="1F4E79"/>
          <w:sz w:val="20"/>
          <w:szCs w:val="20"/>
        </w:rPr>
        <w:t xml:space="preserve">Neil J. Schwab  ·  Framework Architect  ·  Global Stewardship &amp; Reconciliation Trust</w:t>
      </w:r>
    </w:p>
    <w:p>
      <w:pPr>
        <w:spacing w:after="40"/>
        <w:jc w:val="center"/>
      </w:pPr>
      <w:r>
        <w:rPr>
          <w:rFonts w:ascii="Arial" w:cs="Arial" w:eastAsia="Arial" w:hAnsi="Arial"/>
          <w:color w:val="555555"/>
          <w:sz w:val="19"/>
          <w:szCs w:val="19"/>
        </w:rPr>
        <w:t xml:space="preserve">neil.schwab@live.ca  ·  +1 (905) 868-6985  ·  Newmarket, Ontario, Canada  ·  February 2026</w:t>
      </w:r>
    </w:p>
    <w:p>
      <w:pPr>
        <w:spacing w:before="120"/>
        <w:jc w:val="center"/>
      </w:pPr>
      <w:r>
        <w:rPr>
          <w:rFonts w:ascii="Arial" w:cs="Arial" w:eastAsia="Arial" w:hAnsi="Arial"/>
          <w:b/>
          <w:bCs/>
          <w:color w:val="B8860B"/>
          <w:sz w:val="20"/>
          <w:szCs w:val="20"/>
        </w:rPr>
        <w:t xml:space="preserve">FORGIVE YESTERDAY  •  HEAL TODAY  •  FLOURISH TOMORROW  •  TOGETHER  •  PBTG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jc w:val="center"/>
    </w:pPr>
    <w:r>
      <w:rPr>
        <w:rFonts w:ascii="Arial" w:cs="Arial" w:eastAsia="Arial" w:hAnsi="Arial"/>
        <w:color w:val="888888"/>
        <w:sz w:val="17"/>
        <w:szCs w:val="17"/>
      </w:rPr>
      <w:t xml:space="preserve">neil.schwab@live.ca  ·  +1 (905) 868-6985  ·  Newmarket, Ontario  ·  PBTG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pPr>
    <w:r>
      <w:rPr>
        <w:rFonts w:ascii="Arial" w:cs="Arial" w:eastAsia="Arial" w:hAnsi="Arial"/>
        <w:color w:val="888888"/>
        <w:sz w:val="17"/>
        <w:szCs w:val="17"/>
      </w:rPr>
      <w:t xml:space="preserve">GSRT  |  Unsolicited Concept Note — Complete with Annexes  |  Global Affairs Canada  |  Neil J. Schwab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2026-03-02T03:06:39.474Z</dcterms:created>
  <dcterms:modified xsi:type="dcterms:W3CDTF">2026-03-02T03:06:39.474Z</dcterms:modified>
</cp:coreProperties>
</file>

<file path=docProps/custom.xml><?xml version="1.0" encoding="utf-8"?>
<Properties xmlns="http://schemas.openxmlformats.org/officeDocument/2006/custom-properties" xmlns:vt="http://schemas.openxmlformats.org/officeDocument/2006/docPropsVTypes"/>
</file>