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0"/>
          <w:szCs w:val="30"/>
        </w:rPr>
        <w:t xml:space="preserve">Global Stewardship &amp; Reconciliation Trust</w:t>
      </w:r>
    </w:p>
    <w:p>
      <w:pPr>
        <w:spacing w:after="80"/>
        <w:jc w:val="center"/>
      </w:pPr>
      <w:r>
        <w:rPr>
          <w:rFonts w:ascii="Arial" w:cs="Arial" w:eastAsia="Arial" w:hAnsi="Arial"/>
          <w:b/>
          <w:bCs/>
          <w:color w:val="B8860B"/>
          <w:sz w:val="44"/>
          <w:szCs w:val="44"/>
        </w:rPr>
        <w:t xml:space="preserve">COMPREHENSIVE FAQ</w:t>
      </w:r>
    </w:p>
    <w:p>
      <w:pPr>
        <w:spacing w:after="80"/>
        <w:jc w:val="center"/>
      </w:pPr>
      <w:r>
        <w:rPr>
          <w:rFonts w:ascii="Arial" w:cs="Arial" w:eastAsia="Arial" w:hAnsi="Arial"/>
          <w:color w:val="555555"/>
          <w:sz w:val="22"/>
          <w:szCs w:val="22"/>
        </w:rPr>
        <w:t xml:space="preserve">All Institutional Audiences  ·  All Questions Answered with Document References and Citations</w:t>
      </w:r>
    </w:p>
    <w:p>
      <w:pPr>
        <w:pBdr>
          <w:bottom w:val="single" w:color="CCCCCC" w:sz="2" w:space="1"/>
        </w:pBdr>
        <w:spacing w:after="100"/>
        <w:jc w:val="center"/>
      </w:pPr>
      <w:r>
        <w:rPr>
          <w:rFonts w:ascii="Arial" w:cs="Arial" w:eastAsia="Arial" w:hAnsi="Arial"/>
          <w:i/>
          <w:iCs/>
          <w:color w:val="666666"/>
          <w:sz w:val="20"/>
          <w:szCs w:val="20"/>
        </w:rPr>
        <w:t xml:space="preserve">Government  ·  Treasury  ·  First Nations  ·  Catholic Church / Vatican  ·  Civil Engineering  ·  Implementation  ·  Financial  ·  Heads of Government</w:t>
      </w:r>
    </w:p>
    <w:p>
      <w:pPr>
        <w:spacing w:before="120" w:after="80"/>
        <w:jc w:val="center"/>
      </w:pPr>
      <w:r>
        <w:rPr>
          <w:rFonts w:ascii="Arial" w:cs="Arial" w:eastAsia="Arial" w:hAnsi="Arial"/>
          <w:b/>
          <w:bCs/>
          <w:color w:val="1F4E79"/>
          <w:sz w:val="22"/>
          <w:szCs w:val="22"/>
        </w:rPr>
        <w:t xml:space="preserve">Neil J. Schwab  —  Framework Architect  ·  February 2026</w:t>
      </w:r>
    </w:p>
    <w:p>
      <w:pPr>
        <w:spacing w:before="120"/>
        <w:jc w:val="center"/>
      </w:pPr>
      <w:r>
        <w:rPr>
          <w:rFonts w:ascii="Arial" w:cs="Arial" w:eastAsia="Arial" w:hAnsi="Arial"/>
          <w:b/>
          <w:bCs/>
          <w:color w:val="B8860B"/>
          <w:sz w:val="20"/>
          <w:szCs w:val="20"/>
        </w:rPr>
        <w:t xml:space="preserve">FORGIVE YESTERDAY  •  HEAL TODAY  •  FLOURISH TOMORROW  •  TOGETHER  •  PBTG</w:t>
      </w:r>
    </w:p>
    <w:p>
      <w:pPr>
        <w:pageBreakBefore/>
        <w:spacing w:before="0" w:after="100"/>
      </w:pPr>
      <w:r>
        <w:rPr>
          <w:rFonts w:ascii="Arial" w:cs="Arial" w:eastAsia="Arial" w:hAnsi="Arial"/>
          <w:b/>
          <w:bCs/>
          <w:color w:val="1F4E79"/>
          <w:sz w:val="24"/>
          <w:szCs w:val="24"/>
        </w:rPr>
        <w:t xml:space="preserve">Reading guide</w:t>
      </w:r>
    </w:p>
    <w:p>
      <w:pPr>
        <w:spacing w:before="0" w:after="120"/>
      </w:pPr>
      <w:r>
        <w:rPr>
          <w:rFonts w:ascii="Arial" w:cs="Arial" w:eastAsia="Arial" w:hAnsi="Arial"/>
          <w:i w:val="false"/>
          <w:iCs w:val="false"/>
          <w:color w:val="333333"/>
          <w:sz w:val="21"/>
          <w:szCs w:val="21"/>
        </w:rPr>
        <w:t xml:space="preserve">Every question is answered from the framework documentation. Document abbreviations are listed in the reference line (►) below each answer. Audience tags in grey indicate which department or institution this question is most likely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shd w:fill="1F4E79"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GOV</w:t>
            </w:r>
            <w:r>
              <w:rPr>
                <w:rFonts w:ascii="Arial" w:cs="Arial" w:eastAsia="Arial" w:hAnsi="Arial"/>
                <w:color w:val="FFFFFF"/>
                <w:sz w:val="16"/>
                <w:szCs w:val="16"/>
              </w:rPr>
              <w:t xml:space="preserve">
Government / GAC</w:t>
            </w:r>
          </w:p>
        </w:tc>
        <w:tc>
          <w:tcPr>
            <w:shd w:fill="0f346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TREAS</w:t>
            </w:r>
            <w:r>
              <w:rPr>
                <w:rFonts w:ascii="Arial" w:cs="Arial" w:eastAsia="Arial" w:hAnsi="Arial"/>
                <w:color w:val="FFFFFF"/>
                <w:sz w:val="16"/>
                <w:szCs w:val="16"/>
              </w:rPr>
              <w:t xml:space="preserve">
Treasury Board</w:t>
            </w:r>
          </w:p>
        </w:tc>
        <w:tc>
          <w:tcPr>
            <w:shd w:fill="1a6b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FN</w:t>
            </w:r>
            <w:r>
              <w:rPr>
                <w:rFonts w:ascii="Arial" w:cs="Arial" w:eastAsia="Arial" w:hAnsi="Arial"/>
                <w:color w:val="FFFFFF"/>
                <w:sz w:val="16"/>
                <w:szCs w:val="16"/>
              </w:rPr>
              <w:t xml:space="preserve">
First Nations</w:t>
            </w:r>
          </w:p>
        </w:tc>
        <w:tc>
          <w:tcPr>
            <w:shd w:fill="5B2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CC</w:t>
            </w:r>
            <w:r>
              <w:rPr>
                <w:rFonts w:ascii="Arial" w:cs="Arial" w:eastAsia="Arial" w:hAnsi="Arial"/>
                <w:color w:val="FFFFFF"/>
                <w:sz w:val="16"/>
                <w:szCs w:val="16"/>
              </w:rPr>
              <w:t xml:space="preserve">
Catholic Church</w:t>
            </w:r>
          </w:p>
        </w:tc>
        <w:tc>
          <w:tcPr>
            <w:shd w:fill="0097A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CE</w:t>
            </w:r>
            <w:r>
              <w:rPr>
                <w:rFonts w:ascii="Arial" w:cs="Arial" w:eastAsia="Arial" w:hAnsi="Arial"/>
                <w:color w:val="FFFFFF"/>
                <w:sz w:val="16"/>
                <w:szCs w:val="16"/>
              </w:rPr>
              <w:t xml:space="preserve">
Civil Engineering</w:t>
            </w:r>
          </w:p>
        </w:tc>
        <w:tc>
          <w:tcPr>
            <w:shd w:fill="CC66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w:t>
            </w:r>
            <w:r>
              <w:rPr>
                <w:rFonts w:ascii="Arial" w:cs="Arial" w:eastAsia="Arial" w:hAnsi="Arial"/>
                <w:color w:val="FFFFFF"/>
                <w:sz w:val="16"/>
                <w:szCs w:val="16"/>
              </w:rPr>
              <w:t xml:space="preserve">
Implementation</w:t>
            </w:r>
          </w:p>
        </w:tc>
        <w:tc>
          <w:tcPr>
            <w:shd w:fill="8B000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HOG</w:t>
            </w:r>
            <w:r>
              <w:rPr>
                <w:rFonts w:ascii="Arial" w:cs="Arial" w:eastAsia="Arial" w:hAnsi="Arial"/>
                <w:color w:val="FFFFFF"/>
                <w:sz w:val="16"/>
                <w:szCs w:val="16"/>
              </w:rPr>
              <w:t xml:space="preserve">
Head of Government</w:t>
            </w:r>
          </w:p>
        </w:tc>
      </w:tr>
    </w:tbl>
    <w:p>
      <w:pPr>
        <w:spacing w:before="0" w:after="120"/>
      </w:pPr>
      <w:r>
        <w:rPr>
          <w:rFonts w:ascii="Arial" w:cs="Arial" w:eastAsia="Arial" w:hAnsi="Arial"/>
          <w:i w:val="false"/>
          <w:iCs w:val="false"/>
          <w:color w:val="555555"/>
          <w:sz w:val="21"/>
          <w:szCs w:val="21"/>
        </w:rPr>
        <w:t xml:space="preserve">Document abbreviations: MM = Master Manual  ·  WM = Watershed Manual  ·  MAT = Mathematics Manual  ·  SIM = School Integration Manual  ·  FM = Firmware Manual  ·  GL = Glossary  ·  CA = Citations Addendum  ·  VM = Verification Manifest  ·  CN = Concept Note  ·  ES = Executive Summary v3  ·  TI = Technology Integration Brief</w:t>
      </w:r>
    </w:p>
    <w:p>
      <w:pPr>
        <w:pageBreakBefore/>
        <w:pBdr>
          <w:bottom w:val="single" w:color="B8860B" w:sz="6" w:space="1"/>
          <w:left w:val="single" w:color="8B0000" w:sz="24" w:space="8"/>
        </w:pBdr>
        <w:spacing w:before="200" w:after="140"/>
      </w:pPr>
      <w:r>
        <w:rPr>
          <w:rFonts w:ascii="Arial" w:cs="Arial" w:eastAsia="Arial" w:hAnsi="Arial"/>
          <w:b/>
          <w:bCs/>
          <w:color w:val="8B0000"/>
          <w:sz w:val="28"/>
          <w:szCs w:val="28"/>
        </w:rPr>
        <w:t xml:space="preserve">  SECTION 1 — HEADS OF GOVERNMENT</w:t>
      </w:r>
    </w:p>
    <w:p>
      <w:pPr>
        <w:spacing w:before="0" w:after="120"/>
      </w:pPr>
      <w:r>
        <w:rPr>
          <w:rFonts w:ascii="Arial" w:cs="Arial" w:eastAsia="Arial" w:hAnsi="Arial"/>
          <w:i w:val="false"/>
          <w:iCs w:val="false"/>
          <w:color w:val="333333"/>
          <w:sz w:val="21"/>
          <w:szCs w:val="21"/>
        </w:rPr>
        <w:t xml:space="preserve">These are the questions a Prime Minister, Minister of Crown-Indigenous Relations, or Minister of International Development would ask in the first five minutes.</w:t>
      </w:r>
    </w:p>
    <w:p>
      <w:pPr>
        <w:spacing w:before="280" w:after="60"/>
      </w:pPr>
      <w:r>
        <w:rPr>
          <w:rFonts w:ascii="Arial" w:cs="Arial" w:eastAsia="Arial" w:hAnsi="Arial"/>
          <w:b/>
          <w:bCs/>
          <w:color w:val="1F4E79"/>
          <w:sz w:val="22"/>
          <w:szCs w:val="22"/>
        </w:rPr>
        <w:t xml:space="preserve">Q1.  </w:t>
      </w:r>
      <w:r>
        <w:rPr>
          <w:rFonts w:ascii="Arial" w:cs="Arial" w:eastAsia="Arial" w:hAnsi="Arial"/>
          <w:b/>
          <w:bCs/>
          <w:color w:val="1F4E79"/>
          <w:sz w:val="22"/>
          <w:szCs w:val="22"/>
        </w:rPr>
        <w:t xml:space="preserve">What is this and why should I care?</w:t>
      </w:r>
      <w:r>
        <w:rPr>
          <w:rFonts w:ascii="Arial" w:cs="Arial" w:eastAsia="Arial" w:hAnsi="Arial"/>
          <w:i/>
          <w:iCs/>
          <w:color w:val="999999"/>
          <w:sz w:val="19"/>
          <w:szCs w:val="19"/>
        </w:rPr>
        <w:t xml:space="preserve">   [ HOG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Canada faces three converging crises — AI displacement, ecological collapse, and neurochemical poverty — that cost the treasury increasing amounts each year with diminishing returns. The GSRT is the first framework that converts all three liabilities into a single self-sustaining asset. Workers displaced by AI restore the land. Restored land generates verified income. Income raises health. The government's CAD 18.5M seed investment is fully repaid within five years through documented cost savings. From Year 6, zero government funding is required — forever.</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ES Section 1 — The Proposition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Section 1 — Development Challenge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CA Evidence 1–5</w:t>
      </w:r>
    </w:p>
    <w:p>
      <w:pPr>
        <w:spacing w:before="280" w:after="60"/>
      </w:pPr>
      <w:r>
        <w:rPr>
          <w:rFonts w:ascii="Arial" w:cs="Arial" w:eastAsia="Arial" w:hAnsi="Arial"/>
          <w:b/>
          <w:bCs/>
          <w:color w:val="1F4E79"/>
          <w:sz w:val="22"/>
          <w:szCs w:val="22"/>
        </w:rPr>
        <w:t xml:space="preserve">Q2.  </w:t>
      </w:r>
      <w:r>
        <w:rPr>
          <w:rFonts w:ascii="Arial" w:cs="Arial" w:eastAsia="Arial" w:hAnsi="Arial"/>
          <w:b/>
          <w:bCs/>
          <w:color w:val="1F4E79"/>
          <w:sz w:val="22"/>
          <w:szCs w:val="22"/>
        </w:rPr>
        <w:t xml:space="preserve">Why has no one done this before?</w:t>
      </w:r>
      <w:r>
        <w:rPr>
          <w:rFonts w:ascii="Arial" w:cs="Arial" w:eastAsia="Arial" w:hAnsi="Arial"/>
          <w:i/>
          <w:iCs/>
          <w:color w:val="999999"/>
          <w:sz w:val="19"/>
          <w:szCs w:val="19"/>
        </w:rPr>
        <w:t xml:space="preserve">   [ HOG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Because no one has simultaneously addressed the alignment problem across all three systems — ecological, economic, and neurochemical — with a single architecture. The framework was independently assessed by Google Gemini and Microsoft Copilot in cold review (no prior exposure) in February 2026. Both arrived at the same conclusion independently: H-6/6 — Historically Unprecedented. No directly comparable published or institutional equivalents identified. The twin flywheel architecture — neurochemistry and verified income running simultaneously — is the specific innovation that has never existed before.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VM — Third Party Verification Manifest: H-6/6 rating</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VM — Twin Flywheel Finding</w:t>
      </w:r>
    </w:p>
    <w:p>
      <w:pPr>
        <w:spacing w:before="280" w:after="60"/>
      </w:pPr>
      <w:r>
        <w:rPr>
          <w:rFonts w:ascii="Arial" w:cs="Arial" w:eastAsia="Arial" w:hAnsi="Arial"/>
          <w:b/>
          <w:bCs/>
          <w:color w:val="1F4E79"/>
          <w:sz w:val="22"/>
          <w:szCs w:val="22"/>
        </w:rPr>
        <w:t xml:space="preserve">Q3.  </w:t>
      </w:r>
      <w:r>
        <w:rPr>
          <w:rFonts w:ascii="Arial" w:cs="Arial" w:eastAsia="Arial" w:hAnsi="Arial"/>
          <w:b/>
          <w:bCs/>
          <w:color w:val="1F4E79"/>
          <w:sz w:val="22"/>
          <w:szCs w:val="22"/>
        </w:rPr>
        <w:t xml:space="preserve">What do you need from me specifically?</w:t>
      </w:r>
      <w:r>
        <w:rPr>
          <w:rFonts w:ascii="Arial" w:cs="Arial" w:eastAsia="Arial" w:hAnsi="Arial"/>
          <w:i/>
          <w:iCs/>
          <w:color w:val="999999"/>
          <w:sz w:val="19"/>
          <w:szCs w:val="19"/>
        </w:rPr>
        <w:t xml:space="preserve">   [ HOG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Three things. First, CAD 18.5M as a Conditionally Repayable Contribution — fully repaid by Year 5 through documented cost savings. Second, designation of the Government of Canada as anchor customer for verified ecological credits — purchasing restoration outputs as outcomes-based finance instruments. Third, regulatory facilitation for the CCGBI workforce credential recognition across provinces and territories. The government's 33% governance share means Canada has a seat at every structural decision from Day 1.</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CN — The Request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ES Section 10</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7 — Trinity Partnership</w:t>
      </w:r>
    </w:p>
    <w:p>
      <w:pPr>
        <w:spacing w:before="280" w:after="60"/>
      </w:pPr>
      <w:r>
        <w:rPr>
          <w:rFonts w:ascii="Arial" w:cs="Arial" w:eastAsia="Arial" w:hAnsi="Arial"/>
          <w:b/>
          <w:bCs/>
          <w:color w:val="1F4E79"/>
          <w:sz w:val="22"/>
          <w:szCs w:val="22"/>
        </w:rPr>
        <w:t xml:space="preserve">Q4.  </w:t>
      </w:r>
      <w:r>
        <w:rPr>
          <w:rFonts w:ascii="Arial" w:cs="Arial" w:eastAsia="Arial" w:hAnsi="Arial"/>
          <w:b/>
          <w:bCs/>
          <w:color w:val="1F4E79"/>
          <w:sz w:val="22"/>
          <w:szCs w:val="22"/>
        </w:rPr>
        <w:t xml:space="preserve">What happens if this doesn't work?</w:t>
      </w:r>
      <w:r>
        <w:rPr>
          <w:rFonts w:ascii="Arial" w:cs="Arial" w:eastAsia="Arial" w:hAnsi="Arial"/>
          <w:i/>
          <w:iCs/>
          <w:color w:val="999999"/>
          <w:sz w:val="19"/>
          <w:szCs w:val="19"/>
        </w:rPr>
        <w:t xml:space="preserve">   [ HOG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Three protection mechanisms. The 90-day Stop/Adjust Rule ensures no node fails — the Architecture Review Function modifies delivery within 90 days of any performance shortfall. The 40% participant floor is constitutionally hardcoded — workers continue to receive income even during adjustment periods from Aquifer reserves. The CRC structure means repayment is conditional on verified outcomes — if restoration revenue is slower than projected, the repayment timeline extends proportionally; there is no default event. The government is not a creditor at risk. It is an anchor customer receiving verified outputs.</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25 — Risk Mitigation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8 — Governance Protections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Section 2 — Risks</w:t>
      </w:r>
    </w:p>
    <w:p>
      <w:pPr>
        <w:spacing w:before="280" w:after="60"/>
      </w:pPr>
      <w:r>
        <w:rPr>
          <w:rFonts w:ascii="Arial" w:cs="Arial" w:eastAsia="Arial" w:hAnsi="Arial"/>
          <w:b/>
          <w:bCs/>
          <w:color w:val="1F4E79"/>
          <w:sz w:val="22"/>
          <w:szCs w:val="22"/>
        </w:rPr>
        <w:t xml:space="preserve">Q5.  </w:t>
      </w:r>
      <w:r>
        <w:rPr>
          <w:rFonts w:ascii="Arial" w:cs="Arial" w:eastAsia="Arial" w:hAnsi="Arial"/>
          <w:b/>
          <w:bCs/>
          <w:color w:val="1F4E79"/>
          <w:sz w:val="22"/>
          <w:szCs w:val="22"/>
        </w:rPr>
        <w:t xml:space="preserve">How does this relate to reconciliation policy and TRC commitments?</w:t>
      </w:r>
      <w:r>
        <w:rPr>
          <w:rFonts w:ascii="Arial" w:cs="Arial" w:eastAsia="Arial" w:hAnsi="Arial"/>
          <w:i/>
          <w:iCs/>
          <w:color w:val="999999"/>
          <w:sz w:val="19"/>
          <w:szCs w:val="19"/>
        </w:rPr>
        <w:t xml:space="preserve">   [ HOG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TRC Calls to Action 48 and 49 — which call on the Pope to formally apologize and on the Church to implement reparations — are operationalized directly through the COG 2 architecture. The Catholic Church's 200,000+ global facilities are placed in servant posture under First Nations sovereign design authority, not the reverse. UNDRIP Articles 21 and 26 — economic rights and land rights — are given a concrete economic mechanism for the first time. The reconciliation is not symbolic. It generates income for First Nations communities, funded perpetually through the Charity and Reconciliation River.</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19 — Muscle &amp; Heart Partnership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24 — Policy Alignment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Section 2 — Human Rights</w:t>
      </w:r>
    </w:p>
    <w:p>
      <w:pPr>
        <w:pageBreakBefore/>
        <w:pBdr>
          <w:bottom w:val="single" w:color="B8860B" w:sz="6" w:space="1"/>
          <w:left w:val="single" w:color="1F4E79" w:sz="24" w:space="8"/>
        </w:pBdr>
        <w:spacing w:before="200" w:after="140"/>
      </w:pPr>
      <w:r>
        <w:rPr>
          <w:rFonts w:ascii="Arial" w:cs="Arial" w:eastAsia="Arial" w:hAnsi="Arial"/>
          <w:b/>
          <w:bCs/>
          <w:color w:val="1F4E79"/>
          <w:sz w:val="28"/>
          <w:szCs w:val="28"/>
        </w:rPr>
        <w:t xml:space="preserve">  SECTION 2 — GOVERNMENT / GLOBAL AFFAIRS CANADA</w:t>
      </w:r>
    </w:p>
    <w:p>
      <w:pPr>
        <w:spacing w:before="280" w:after="60"/>
      </w:pPr>
      <w:r>
        <w:rPr>
          <w:rFonts w:ascii="Arial" w:cs="Arial" w:eastAsia="Arial" w:hAnsi="Arial"/>
          <w:b/>
          <w:bCs/>
          <w:color w:val="1F4E79"/>
          <w:sz w:val="22"/>
          <w:szCs w:val="22"/>
        </w:rPr>
        <w:t xml:space="preserve">Q6.  </w:t>
      </w:r>
      <w:r>
        <w:rPr>
          <w:rFonts w:ascii="Arial" w:cs="Arial" w:eastAsia="Arial" w:hAnsi="Arial"/>
          <w:b/>
          <w:bCs/>
          <w:color w:val="1F4E79"/>
          <w:sz w:val="22"/>
          <w:szCs w:val="22"/>
        </w:rPr>
        <w:t xml:space="preserve">How does the GSRT align with Canada's Feminist International Assistance Policy?</w:t>
      </w:r>
      <w:r>
        <w:rPr>
          <w:rFonts w:ascii="Arial" w:cs="Arial" w:eastAsia="Arial" w:hAnsi="Arial"/>
          <w:i/>
          <w:iCs/>
          <w:color w:val="999999"/>
          <w:sz w:val="19"/>
          <w:szCs w:val="19"/>
        </w:rPr>
        <w:t xml:space="preserve">   [ GOV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Gender equality is structural in the GSRT — not added on. The GOLD Mother-Elder tier creates paid, certified, honoured roles specifically for women elders who currently provide community care without economic recognition. The 40% constitutional participant floor explicitly protects women workers from fund redirection. The Lighthouse Resilience Programme addresses vicarious trauma and moral injury — occupational hazards borne disproportionately by women in care roles. CEP hardware (Tier 1 wristband) requires no literacy, removing the most common barrier to women's participation in technology-enabled programmes. The Feminist International Assistance Policy's emphasis on economic empowerment and anti-extraction aligns directly with the 80% local retention floor.</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CN Section 2 — Gender Equality</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9 — Lighthouse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5 — Mother-Elder Protocol</w:t>
      </w:r>
    </w:p>
    <w:p>
      <w:pPr>
        <w:spacing w:before="280" w:after="60"/>
      </w:pPr>
      <w:r>
        <w:rPr>
          <w:rFonts w:ascii="Arial" w:cs="Arial" w:eastAsia="Arial" w:hAnsi="Arial"/>
          <w:b/>
          <w:bCs/>
          <w:color w:val="1F4E79"/>
          <w:sz w:val="22"/>
          <w:szCs w:val="22"/>
        </w:rPr>
        <w:t xml:space="preserve">Q7.  </w:t>
      </w:r>
      <w:r>
        <w:rPr>
          <w:rFonts w:ascii="Arial" w:cs="Arial" w:eastAsia="Arial" w:hAnsi="Arial"/>
          <w:b/>
          <w:bCs/>
          <w:color w:val="1F4E79"/>
          <w:sz w:val="22"/>
          <w:szCs w:val="22"/>
        </w:rPr>
        <w:t xml:space="preserve">Does this project meet ODA-eligible country and sector requirements?</w:t>
      </w:r>
      <w:r>
        <w:rPr>
          <w:rFonts w:ascii="Arial" w:cs="Arial" w:eastAsia="Arial" w:hAnsi="Arial"/>
          <w:i/>
          <w:iCs/>
          <w:color w:val="999999"/>
          <w:sz w:val="19"/>
          <w:szCs w:val="19"/>
        </w:rPr>
        <w:t xml:space="preserve">   [ GOV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Yes. Canada (First Nations communities — Manitoba pilot), Kenya (field-validated), and India (wetland restoration nodes) are all either Canada or ODA-eligible. Primary sectors addressed: employment and inclusive growth, environmental sustainability, Indigenous rights and self-determination, gender equality. The Kenya pilot — 30 workers, zero government direction, 500,000+ tonnes cleared — is field validation in an ODA-eligible jurisdiction at scale, with zero government cost.</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CN Basic Information — Countries and Sectors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Section 3 — Kenya Field Validation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CA Evidence 5</w:t>
      </w:r>
    </w:p>
    <w:p>
      <w:pPr>
        <w:spacing w:before="280" w:after="60"/>
      </w:pPr>
      <w:r>
        <w:rPr>
          <w:rFonts w:ascii="Arial" w:cs="Arial" w:eastAsia="Arial" w:hAnsi="Arial"/>
          <w:b/>
          <w:bCs/>
          <w:color w:val="1F4E79"/>
          <w:sz w:val="22"/>
          <w:szCs w:val="22"/>
        </w:rPr>
        <w:t xml:space="preserve">Q8.  </w:t>
      </w:r>
      <w:r>
        <w:rPr>
          <w:rFonts w:ascii="Arial" w:cs="Arial" w:eastAsia="Arial" w:hAnsi="Arial"/>
          <w:b/>
          <w:bCs/>
          <w:color w:val="1F4E79"/>
          <w:sz w:val="22"/>
          <w:szCs w:val="22"/>
        </w:rPr>
        <w:t xml:space="preserve">What are the Results-Based Management outcomes?</w:t>
      </w:r>
      <w:r>
        <w:rPr>
          <w:rFonts w:ascii="Arial" w:cs="Arial" w:eastAsia="Arial" w:hAnsi="Arial"/>
          <w:i/>
          <w:iCs/>
          <w:color w:val="999999"/>
          <w:sz w:val="19"/>
          <w:szCs w:val="19"/>
        </w:rPr>
        <w:t xml:space="preserve">   [ GOV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Ultimate Outcome: Sovereign, self-sustaining restoration economies operating across First Nations and ODA-eligible communities with zero government subsidy from Year 6. Four Intermediate Outcomes: (1) Verified CCGBI workforce earning living wages with internationally portable credentials. (2) Neurochemical poverty measurably reduced — ProQOL, PSS, BAT, SAF, OCI validated. (3) Verified ecological assets generating purchasable outcomes-based credits with 30% minimum land value appreciation and 5x flood prevention ROI. (4) Godspring Watershed generating sufficient revenue to service seed repayment by Year 5. All four are measurable, independently verifiable, and sourced to published evidence floors.</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CN Section 2 — RBM Outcomes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MAT Section 12 — Evidence Floors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CA All five pillars</w:t>
      </w:r>
    </w:p>
    <w:p>
      <w:pPr>
        <w:spacing w:before="280" w:after="60"/>
      </w:pPr>
      <w:r>
        <w:rPr>
          <w:rFonts w:ascii="Arial" w:cs="Arial" w:eastAsia="Arial" w:hAnsi="Arial"/>
          <w:b/>
          <w:bCs/>
          <w:color w:val="1F4E79"/>
          <w:sz w:val="22"/>
          <w:szCs w:val="22"/>
        </w:rPr>
        <w:t xml:space="preserve">Q9.  </w:t>
      </w:r>
      <w:r>
        <w:rPr>
          <w:rFonts w:ascii="Arial" w:cs="Arial" w:eastAsia="Arial" w:hAnsi="Arial"/>
          <w:b/>
          <w:bCs/>
          <w:color w:val="1F4E79"/>
          <w:sz w:val="22"/>
          <w:szCs w:val="22"/>
        </w:rPr>
        <w:t xml:space="preserve">How does the GSRT align with Canada's international AI governance commitments?</w:t>
      </w:r>
      <w:r>
        <w:rPr>
          <w:rFonts w:ascii="Arial" w:cs="Arial" w:eastAsia="Arial" w:hAnsi="Arial"/>
          <w:i/>
          <w:iCs/>
          <w:color w:val="999999"/>
          <w:sz w:val="19"/>
          <w:szCs w:val="19"/>
        </w:rPr>
        <w:t xml:space="preserve">   [ GOV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Canadian Government's AI and Good Governance Guide identifies three priorities: inclusive AI, transparent AI, and AI that serves human rights. The GSRT's AI Halo IRF addresses all three simultaneously. Inclusive: universal access through Tier 1 wristband hardware with no literacy requirement. Transparent: Saint Christopher Handshake — all data mutual observation, never unilateral extraction. Human rights: TEK vacuum-sealed, UNDRIP operationalized, First Nations sovereign authority over all AI applications within their communities.</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TI — Architecture 1: AI Systems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17 — Saint Christopher Handshake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CAN_GOV_AI_GI_GUIDE.docx</w:t>
      </w:r>
    </w:p>
    <w:p>
      <w:pPr>
        <w:spacing w:before="280" w:after="60"/>
      </w:pPr>
      <w:r>
        <w:rPr>
          <w:rFonts w:ascii="Arial" w:cs="Arial" w:eastAsia="Arial" w:hAnsi="Arial"/>
          <w:b/>
          <w:bCs/>
          <w:color w:val="1F4E79"/>
          <w:sz w:val="22"/>
          <w:szCs w:val="22"/>
        </w:rPr>
        <w:t xml:space="preserve">Q10.  </w:t>
      </w:r>
      <w:r>
        <w:rPr>
          <w:rFonts w:ascii="Arial" w:cs="Arial" w:eastAsia="Arial" w:hAnsi="Arial"/>
          <w:b/>
          <w:bCs/>
          <w:color w:val="1F4E79"/>
          <w:sz w:val="22"/>
          <w:szCs w:val="22"/>
        </w:rPr>
        <w:t xml:space="preserve">What is the exit strategy — how does Canada disengage without the system collapsing?</w:t>
      </w:r>
      <w:r>
        <w:rPr>
          <w:rFonts w:ascii="Arial" w:cs="Arial" w:eastAsia="Arial" w:hAnsi="Arial"/>
          <w:i/>
          <w:iCs/>
          <w:color w:val="999999"/>
          <w:sz w:val="19"/>
          <w:szCs w:val="19"/>
        </w:rPr>
        <w:t xml:space="preserve">   [ GOV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architecture is specifically designed for government exit. The Aquifer fills over Years 1–5. At Year 5, the seed is fully repaid. At Year 6, the Godspring rises from the full Aquifer and the system runs on its own restoration rainfall. There is no dependency on continued government funding — by design. The government transitions from seed investor to ecological credit purchaser, which is a normal market relationship, not a subsidy. The 33% governance share continues, providing Canada with ongoing institutional influence without financial obligation.</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WM Section 5 — The Godspring</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6 — Perpetual Motion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VM Document 2 — Aquifer Proof</w:t>
      </w:r>
    </w:p>
    <w:p>
      <w:pPr>
        <w:pageBreakBefore/>
        <w:pBdr>
          <w:bottom w:val="single" w:color="B8860B" w:sz="6" w:space="1"/>
          <w:left w:val="single" w:color="0f3460" w:sz="24" w:space="8"/>
        </w:pBdr>
        <w:spacing w:before="200" w:after="140"/>
      </w:pPr>
      <w:r>
        <w:rPr>
          <w:rFonts w:ascii="Arial" w:cs="Arial" w:eastAsia="Arial" w:hAnsi="Arial"/>
          <w:b/>
          <w:bCs/>
          <w:color w:val="0f3460"/>
          <w:sz w:val="28"/>
          <w:szCs w:val="28"/>
        </w:rPr>
        <w:t xml:space="preserve">  SECTION 3 — TREASURY BOARD / FINANCIAL ANALYSTS</w:t>
      </w:r>
    </w:p>
    <w:p>
      <w:pPr>
        <w:spacing w:before="280" w:after="60"/>
      </w:pPr>
      <w:r>
        <w:rPr>
          <w:rFonts w:ascii="Arial" w:cs="Arial" w:eastAsia="Arial" w:hAnsi="Arial"/>
          <w:b/>
          <w:bCs/>
          <w:color w:val="1F4E79"/>
          <w:sz w:val="22"/>
          <w:szCs w:val="22"/>
        </w:rPr>
        <w:t xml:space="preserve">Q11.  </w:t>
      </w:r>
      <w:r>
        <w:rPr>
          <w:rFonts w:ascii="Arial" w:cs="Arial" w:eastAsia="Arial" w:hAnsi="Arial"/>
          <w:b/>
          <w:bCs/>
          <w:color w:val="1F4E79"/>
          <w:sz w:val="22"/>
          <w:szCs w:val="22"/>
        </w:rPr>
        <w:t xml:space="preserve">Walk us through the repayment math step by step.</w:t>
      </w:r>
      <w:r>
        <w:rPr>
          <w:rFonts w:ascii="Arial" w:cs="Arial" w:eastAsia="Arial" w:hAnsi="Arial"/>
          <w:i/>
          <w:iCs/>
          <w:color w:val="999999"/>
          <w:sz w:val="19"/>
          <w:szCs w:val="19"/>
        </w:rPr>
        <w:t xml:space="preserve">   [ TREAS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Step 1: Gross restoration revenue enters the primary waterfall. Step 2: Both 10% streams (Progression and Scaling Reserve) feed independent secondary engines from Day 1. Step 3: Each engine splits 50/50 — 50% to Aquifer recharge, 50% to Four Rivers. Step 4: Combined Aquifer recharge = 0.10 × Gross Revenue per period. Step 5: Over 5 years, cumulative Aquifer = 0.50 × Total Gross Revenue. Step 6: At repayment threshold: 0.50R = 18.5M, therefore R = 37M cumulative gross revenue needed. Step 7: At 7.4M average annual gross revenue across active nodes — achievable in Year 1 at operational scale — the seed is fully repaid by Year 5. Kenya data supports Year 3.</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WM Section 4 — The Aquifer</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MAT Section 6.3–6.4 — Watershed Architecture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VM Document 2 — Seed Repayment Proof</w:t>
      </w:r>
    </w:p>
    <w:p>
      <w:pPr>
        <w:spacing w:before="280" w:after="60"/>
      </w:pPr>
      <w:r>
        <w:rPr>
          <w:rFonts w:ascii="Arial" w:cs="Arial" w:eastAsia="Arial" w:hAnsi="Arial"/>
          <w:b/>
          <w:bCs/>
          <w:color w:val="1F4E79"/>
          <w:sz w:val="22"/>
          <w:szCs w:val="22"/>
        </w:rPr>
        <w:t xml:space="preserve">Q12.  </w:t>
      </w:r>
      <w:r>
        <w:rPr>
          <w:rFonts w:ascii="Arial" w:cs="Arial" w:eastAsia="Arial" w:hAnsi="Arial"/>
          <w:b/>
          <w:bCs/>
          <w:color w:val="1F4E79"/>
          <w:sz w:val="22"/>
          <w:szCs w:val="22"/>
        </w:rPr>
        <w:t xml:space="preserve">What are the audit and fiduciary controls?</w:t>
      </w:r>
      <w:r>
        <w:rPr>
          <w:rFonts w:ascii="Arial" w:cs="Arial" w:eastAsia="Arial" w:hAnsi="Arial"/>
          <w:i/>
          <w:iCs/>
          <w:color w:val="999999"/>
          <w:sz w:val="19"/>
          <w:szCs w:val="19"/>
        </w:rPr>
        <w:t xml:space="preserve">   [ TREAS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Nodal Sovereignty MOU specifies fund custody, audit rights, and quarterly reporting obligations. The 40% participant floor is hardcoded — cannot be redirected by any partner including the Framework Architect. The Hodge Gate requires consensus of all three institutional partners for any structural change. GAC standard annual audit requirements apply throughout. The Lest We Forget Gate monitors for extraction patterns. The VVV Gate (constant 3.16875) provides mathematical integrity verification of all financial data inputs. Independent auditor with Indigenous and development finance experience to be confirmed at proposal stage.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WM Section 8 — Governance Firewalls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18 — Hodge Gate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Annex A CRC.4</w:t>
      </w:r>
    </w:p>
    <w:p>
      <w:pPr>
        <w:spacing w:before="280" w:after="60"/>
      </w:pPr>
      <w:r>
        <w:rPr>
          <w:rFonts w:ascii="Arial" w:cs="Arial" w:eastAsia="Arial" w:hAnsi="Arial"/>
          <w:b/>
          <w:bCs/>
          <w:color w:val="1F4E79"/>
          <w:sz w:val="22"/>
          <w:szCs w:val="22"/>
        </w:rPr>
        <w:t xml:space="preserve">Q13.  </w:t>
      </w:r>
      <w:r>
        <w:rPr>
          <w:rFonts w:ascii="Arial" w:cs="Arial" w:eastAsia="Arial" w:hAnsi="Arial"/>
          <w:b/>
          <w:bCs/>
          <w:color w:val="1F4E79"/>
          <w:sz w:val="22"/>
          <w:szCs w:val="22"/>
        </w:rPr>
        <w:t xml:space="preserve">What is the minimum viable revenue needed each year, and how confident are you it will be achieved?</w:t>
      </w:r>
      <w:r>
        <w:rPr>
          <w:rFonts w:ascii="Arial" w:cs="Arial" w:eastAsia="Arial" w:hAnsi="Arial"/>
          <w:i/>
          <w:iCs/>
          <w:color w:val="999999"/>
          <w:sz w:val="19"/>
          <w:szCs w:val="19"/>
        </w:rPr>
        <w:t xml:space="preserve">   [ TREAS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Minimum required: CAD 7.4M average annual gross revenue across all active nodes to repay seed by Year 5. Confidence basis: Kenya pilot — 30 workers, zero government direction — produced 2.93B in documented cascade value. A single mid-size First Nations community node in Manitoba generating 50 workers at CCGBI wages generates approximately 8–12M in restoration revenue and documented government cost savings annually. Conservative floor used throughout — the framework uses 5-year repayment when Kenya data supports 3 years. All figures set at or below the published evidence range minimum.</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WM Section 4–5 — Aquifer and Godspring</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CA Evidence 1–5</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Section 3 — Kenya Validation</w:t>
      </w:r>
    </w:p>
    <w:p>
      <w:pPr>
        <w:spacing w:before="280" w:after="60"/>
      </w:pPr>
      <w:r>
        <w:rPr>
          <w:rFonts w:ascii="Arial" w:cs="Arial" w:eastAsia="Arial" w:hAnsi="Arial"/>
          <w:b/>
          <w:bCs/>
          <w:color w:val="1F4E79"/>
          <w:sz w:val="22"/>
          <w:szCs w:val="22"/>
        </w:rPr>
        <w:t xml:space="preserve">Q14.  </w:t>
      </w:r>
      <w:r>
        <w:rPr>
          <w:rFonts w:ascii="Arial" w:cs="Arial" w:eastAsia="Arial" w:hAnsi="Arial"/>
          <w:b/>
          <w:bCs/>
          <w:color w:val="1F4E79"/>
          <w:sz w:val="22"/>
          <w:szCs w:val="22"/>
        </w:rPr>
        <w:t xml:space="preserve">How is the 40% participant floor legally protected?</w:t>
      </w:r>
      <w:r>
        <w:rPr>
          <w:rFonts w:ascii="Arial" w:cs="Arial" w:eastAsia="Arial" w:hAnsi="Arial"/>
          <w:i/>
          <w:iCs/>
          <w:color w:val="999999"/>
          <w:sz w:val="19"/>
          <w:szCs w:val="19"/>
        </w:rPr>
        <w:t xml:space="preserve">   [ TREAS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40% participant floor is written into the Nodal Sovereignty MOU as a constitutional provision — it cannot be redirected by any partner, any regulatory authority, or the Framework Architect himself. It is not a target or a policy — it is an architectural constraint, the equivalent of load-bearing infrastructure. If restoration revenue in a given period is insufficient to fund the full floor, Aquifer reserves are released to maintain participant income. Participants receive their income before any other distribution is made. This is the 'Dignity First' principle expressed as a legal instrument.</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WM Section 2 — Justice Floor</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6.2 — Reverse Revenue Calculation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30 — Legal &amp; Regulatory</w:t>
      </w:r>
    </w:p>
    <w:p>
      <w:pPr>
        <w:spacing w:before="280" w:after="60"/>
      </w:pPr>
      <w:r>
        <w:rPr>
          <w:rFonts w:ascii="Arial" w:cs="Arial" w:eastAsia="Arial" w:hAnsi="Arial"/>
          <w:b/>
          <w:bCs/>
          <w:color w:val="1F4E79"/>
          <w:sz w:val="22"/>
          <w:szCs w:val="22"/>
        </w:rPr>
        <w:t xml:space="preserve">Q15.  </w:t>
      </w:r>
      <w:r>
        <w:rPr>
          <w:rFonts w:ascii="Arial" w:cs="Arial" w:eastAsia="Arial" w:hAnsi="Arial"/>
          <w:b/>
          <w:bCs/>
          <w:color w:val="1F4E79"/>
          <w:sz w:val="22"/>
          <w:szCs w:val="22"/>
        </w:rPr>
        <w:t xml:space="preserve">What does 'documented cost savings as repayment mechanism' mean — is there precedent?</w:t>
      </w:r>
      <w:r>
        <w:rPr>
          <w:rFonts w:ascii="Arial" w:cs="Arial" w:eastAsia="Arial" w:hAnsi="Arial"/>
          <w:i/>
          <w:iCs/>
          <w:color w:val="999999"/>
          <w:sz w:val="19"/>
          <w:szCs w:val="19"/>
        </w:rPr>
        <w:t xml:space="preserve">   [ TREAS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This is a Conditionally Repayable Contribution — the instrument GAC specifically developed and piloted from 2021–2026. The mechanism: as participants exit the Limbic Prison (CAD 120,000/yr government cost) and become CCGBI workers (CAD 65,000/yr productivity contribution), the documented swing of 185,000 per person per year is attributed to the investment and offsets the repayment obligation. Social Impact Bonds internationally have used comparable outcome-attribution mechanisms, though the GSRT's self-sustaining waterfall architecture goes further than any existing SIB — the repayment is structural, not dependent on a bilateral agreement between two parties.</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CA Evidence 1 — Limbic Prison composite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4 — Aquifer Recharge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Annex A — CRC.1 and CRC.2</w:t>
      </w:r>
    </w:p>
    <w:p>
      <w:pPr>
        <w:spacing w:before="280" w:after="60"/>
      </w:pPr>
      <w:r>
        <w:rPr>
          <w:rFonts w:ascii="Arial" w:cs="Arial" w:eastAsia="Arial" w:hAnsi="Arial"/>
          <w:b/>
          <w:bCs/>
          <w:color w:val="1F4E79"/>
          <w:sz w:val="22"/>
          <w:szCs w:val="22"/>
        </w:rPr>
        <w:t xml:space="preserve">Q16.  </w:t>
      </w:r>
      <w:r>
        <w:rPr>
          <w:rFonts w:ascii="Arial" w:cs="Arial" w:eastAsia="Arial" w:hAnsi="Arial"/>
          <w:b/>
          <w:bCs/>
          <w:color w:val="1F4E79"/>
          <w:sz w:val="22"/>
          <w:szCs w:val="22"/>
        </w:rPr>
        <w:t xml:space="preserve">What is the total community node value per year in verified financial terms?</w:t>
      </w:r>
      <w:r>
        <w:rPr>
          <w:rFonts w:ascii="Arial" w:cs="Arial" w:eastAsia="Arial" w:hAnsi="Arial"/>
          <w:i/>
          <w:iCs/>
          <w:color w:val="999999"/>
          <w:sz w:val="19"/>
          <w:szCs w:val="19"/>
        </w:rPr>
        <w:t xml:space="preserve">   [ TREAS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Conservative four-sector floor: Agency sector 76,500 (Lighthouse ROI on 20-person addiction services team). Municipal sector 34,000 (EMS, sanitation, water lab savings). Household sector 35,000–65,000 per household (CCGBI wage minus welfare baseline). Environmental sector 50,000–200,000 (land value appreciation plus flood prevention ROI). Total conservative floor: 210,500 per active node per year across four independently measurable sectors. This is the basis for the outcomes-based ecological credit purchased by the government as anchor customer.</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MAT Section 10 — Community ROI</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MAT Section 7 — Lighthouse ROI</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9 — Evidence Floors</w:t>
      </w:r>
    </w:p>
    <w:p>
      <w:pPr>
        <w:pageBreakBefore/>
        <w:pBdr>
          <w:bottom w:val="single" w:color="B8860B" w:sz="6" w:space="1"/>
          <w:left w:val="single" w:color="1a6b2a" w:sz="24" w:space="8"/>
        </w:pBdr>
        <w:spacing w:before="200" w:after="140"/>
      </w:pPr>
      <w:r>
        <w:rPr>
          <w:rFonts w:ascii="Arial" w:cs="Arial" w:eastAsia="Arial" w:hAnsi="Arial"/>
          <w:b/>
          <w:bCs/>
          <w:color w:val="1a6b2a"/>
          <w:sz w:val="28"/>
          <w:szCs w:val="28"/>
        </w:rPr>
        <w:t xml:space="preserve">  SECTION 4 — FIRST NATIONS INSTITUTIONS</w:t>
      </w:r>
    </w:p>
    <w:p>
      <w:pPr>
        <w:spacing w:before="280" w:after="60"/>
      </w:pPr>
      <w:r>
        <w:rPr>
          <w:rFonts w:ascii="Arial" w:cs="Arial" w:eastAsia="Arial" w:hAnsi="Arial"/>
          <w:b/>
          <w:bCs/>
          <w:color w:val="1F4E79"/>
          <w:sz w:val="22"/>
          <w:szCs w:val="22"/>
        </w:rPr>
        <w:t xml:space="preserve">Q17.  </w:t>
      </w:r>
      <w:r>
        <w:rPr>
          <w:rFonts w:ascii="Arial" w:cs="Arial" w:eastAsia="Arial" w:hAnsi="Arial"/>
          <w:b/>
          <w:bCs/>
          <w:color w:val="1F4E79"/>
          <w:sz w:val="22"/>
          <w:szCs w:val="22"/>
        </w:rPr>
        <w:t xml:space="preserve">How is this different from every other programme that has come to First Nations communities with a plan?</w:t>
      </w:r>
      <w:r>
        <w:rPr>
          <w:rFonts w:ascii="Arial" w:cs="Arial" w:eastAsia="Arial" w:hAnsi="Arial"/>
          <w:i/>
          <w:iCs/>
          <w:color w:val="999999"/>
          <w:sz w:val="19"/>
          <w:szCs w:val="19"/>
        </w:rPr>
        <w:t xml:space="preserve">   [ FN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Three structural differences. First, First Nations hold sovereign design authority and veto — the programme cannot proceed if the community does not design and approve it. This is not consultation. It is governance. Second, 40% of every restoration revenue dollar flows directly to workers — constitutionally protected, never redirected. This is not a promise. It is hardcoded architecture. Third, Traditional Ecological Knowledge is vacuum-sealed under the Saint Christopher Handshake — it cannot be accessed, inferred, or incorporated into any technology system without explicit, documented, revocable consent from the relevant sovereign authority. The GSRT does not come to First Nations. It recognizes that the system was already theirs.</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 — COG 1: The Muscle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19 — Muscle &amp; Heart Partnership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PN-FN — First Nations Partner Synopsis</w:t>
      </w:r>
    </w:p>
    <w:p>
      <w:pPr>
        <w:spacing w:before="280" w:after="60"/>
      </w:pPr>
      <w:r>
        <w:rPr>
          <w:rFonts w:ascii="Arial" w:cs="Arial" w:eastAsia="Arial" w:hAnsi="Arial"/>
          <w:b/>
          <w:bCs/>
          <w:color w:val="1F4E79"/>
          <w:sz w:val="22"/>
          <w:szCs w:val="22"/>
        </w:rPr>
        <w:t xml:space="preserve">Q18.  </w:t>
      </w:r>
      <w:r>
        <w:rPr>
          <w:rFonts w:ascii="Arial" w:cs="Arial" w:eastAsia="Arial" w:hAnsi="Arial"/>
          <w:b/>
          <w:bCs/>
          <w:color w:val="1F4E79"/>
          <w:sz w:val="22"/>
          <w:szCs w:val="22"/>
        </w:rPr>
        <w:t xml:space="preserve">What authority does the First Nations partner actually hold?</w:t>
      </w:r>
      <w:r>
        <w:rPr>
          <w:rFonts w:ascii="Arial" w:cs="Arial" w:eastAsia="Arial" w:hAnsi="Arial"/>
          <w:i/>
          <w:iCs/>
          <w:color w:val="999999"/>
          <w:sz w:val="19"/>
          <w:szCs w:val="19"/>
        </w:rPr>
        <w:t xml:space="preserve">   [ FN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33% governance authority and 33% profit distribution — equal to the Catholic Church and the Government of Canada. Veto over all land-use decisions — not just consultation, a hard stop. Sovereign design authority over all CCGBI programming — the colour progression, the restoration work assignments, the Elder pairings, and the curriculum are all designed by First Nations, not for them. The AI Halo IRF cannot operate within First Nations territory without community-level consent. TEK cannot enter the GTT dataset under any circumstance without explicit revocable consent. The Hodge Gate requires First Nations consensus for any structural change.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18 — Governance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7 — Trinity Partnership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 — COG 1</w:t>
      </w:r>
    </w:p>
    <w:p>
      <w:pPr>
        <w:spacing w:before="280" w:after="60"/>
      </w:pPr>
      <w:r>
        <w:rPr>
          <w:rFonts w:ascii="Arial" w:cs="Arial" w:eastAsia="Arial" w:hAnsi="Arial"/>
          <w:b/>
          <w:bCs/>
          <w:color w:val="1F4E79"/>
          <w:sz w:val="22"/>
          <w:szCs w:val="22"/>
        </w:rPr>
        <w:t xml:space="preserve">Q19.  </w:t>
      </w:r>
      <w:r>
        <w:rPr>
          <w:rFonts w:ascii="Arial" w:cs="Arial" w:eastAsia="Arial" w:hAnsi="Arial"/>
          <w:b/>
          <w:bCs/>
          <w:color w:val="1F4E79"/>
          <w:sz w:val="22"/>
          <w:szCs w:val="22"/>
        </w:rPr>
        <w:t xml:space="preserve">How is Traditional Ecological Knowledge protected from being extracted or commercialized?</w:t>
      </w:r>
      <w:r>
        <w:rPr>
          <w:rFonts w:ascii="Arial" w:cs="Arial" w:eastAsia="Arial" w:hAnsi="Arial"/>
          <w:i/>
          <w:iCs/>
          <w:color w:val="999999"/>
          <w:sz w:val="19"/>
          <w:szCs w:val="19"/>
        </w:rPr>
        <w:t xml:space="preserve">   [ FN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Saint Christopher Handshake establishes mutual observation, never extraction as the governing data principle. TEK is vacuum-sealed in a separate partition of the GTT architecture that cannot be accessed by the AI Halo IRF, cannot be included in any training data, cannot be inferred from behavioural patterns, and cannot be commercialized under any partnership agreement. Any attempt to access TEK without explicit, documented, revocable consent from the relevant sovereign authority triggers the Lest We Forget Gate — the anti-capture firewall. TEK protection is not a policy that can be changed by partners. It is architectural.</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17 — Saint Christopher Handshake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TI — Data Governance Section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GL — Glossary: Saint Christopher Handshake</w:t>
      </w:r>
    </w:p>
    <w:p>
      <w:pPr>
        <w:spacing w:before="280" w:after="60"/>
      </w:pPr>
      <w:r>
        <w:rPr>
          <w:rFonts w:ascii="Arial" w:cs="Arial" w:eastAsia="Arial" w:hAnsi="Arial"/>
          <w:b/>
          <w:bCs/>
          <w:color w:val="1F4E79"/>
          <w:sz w:val="22"/>
          <w:szCs w:val="22"/>
        </w:rPr>
        <w:t xml:space="preserve">Q20.  </w:t>
      </w:r>
      <w:r>
        <w:rPr>
          <w:rFonts w:ascii="Arial" w:cs="Arial" w:eastAsia="Arial" w:hAnsi="Arial"/>
          <w:b/>
          <w:bCs/>
          <w:color w:val="1F4E79"/>
          <w:sz w:val="22"/>
          <w:szCs w:val="22"/>
        </w:rPr>
        <w:t xml:space="preserve">What happens to the programme if the band council changes leadership?</w:t>
      </w:r>
      <w:r>
        <w:rPr>
          <w:rFonts w:ascii="Arial" w:cs="Arial" w:eastAsia="Arial" w:hAnsi="Arial"/>
          <w:i/>
          <w:iCs/>
          <w:color w:val="999999"/>
          <w:sz w:val="19"/>
          <w:szCs w:val="19"/>
        </w:rPr>
        <w:t xml:space="preserve">   [ FN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programme is designed to survive leadership transitions. The Nodal Sovereignty MOU is between the sovereign territory and the GSRT — not between individual leaders. The 40% participant floor protects workers through any transition. The 90-day Stop/Adjust Rule means no disruption period exceeds 90 days without an architecture review. The Prodigal Son Protocol — written into all community agreements — means any community that has paused or stepped back from the programme can re-enter at any time without penalty, without judgment, and without losing their governance position or profit share.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27 — Sovereignty Manual</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GL — Prodigal Son Protocol</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8 — 90-day Rule</w:t>
      </w:r>
    </w:p>
    <w:p>
      <w:pPr>
        <w:spacing w:before="280" w:after="60"/>
      </w:pPr>
      <w:r>
        <w:rPr>
          <w:rFonts w:ascii="Arial" w:cs="Arial" w:eastAsia="Arial" w:hAnsi="Arial"/>
          <w:b/>
          <w:bCs/>
          <w:color w:val="1F4E79"/>
          <w:sz w:val="22"/>
          <w:szCs w:val="22"/>
        </w:rPr>
        <w:t xml:space="preserve">Q21.  </w:t>
      </w:r>
      <w:r>
        <w:rPr>
          <w:rFonts w:ascii="Arial" w:cs="Arial" w:eastAsia="Arial" w:hAnsi="Arial"/>
          <w:b/>
          <w:bCs/>
          <w:color w:val="1F4E79"/>
          <w:sz w:val="22"/>
          <w:szCs w:val="22"/>
        </w:rPr>
        <w:t xml:space="preserve">How does the GSRT relationship with the Catholic Church affect First Nations authority?</w:t>
      </w:r>
      <w:r>
        <w:rPr>
          <w:rFonts w:ascii="Arial" w:cs="Arial" w:eastAsia="Arial" w:hAnsi="Arial"/>
          <w:i/>
          <w:iCs/>
          <w:color w:val="999999"/>
          <w:sz w:val="19"/>
          <w:szCs w:val="19"/>
        </w:rPr>
        <w:t xml:space="preserve">   [ FN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Catholic Church is COG 2 — The Heart. Its role is specifically defined as servant posture under First Nations design authority. The Church provides infrastructure — buildings, facilities, logistics networks. It does not provide direction, curriculum, or governance input on First Nations land. TRC Calls to Action 48 and 49 establish the theological and institutional framework for this servant posture. Laudato Si — the Pope's encyclical on ecological stewardship — provides the Church's own mandate to act this way. The Church's role in the GSRT is atonement expressed economically. Not leadership. Atonement.</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19 — Muscle &amp; Heart Partnership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 — COG 2: The Heart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PN-CC — Catholic Church Partner Synopsis</w:t>
      </w:r>
    </w:p>
    <w:p>
      <w:pPr>
        <w:spacing w:before="280" w:after="60"/>
      </w:pPr>
      <w:r>
        <w:rPr>
          <w:rFonts w:ascii="Arial" w:cs="Arial" w:eastAsia="Arial" w:hAnsi="Arial"/>
          <w:b/>
          <w:bCs/>
          <w:color w:val="1F4E79"/>
          <w:sz w:val="22"/>
          <w:szCs w:val="22"/>
        </w:rPr>
        <w:t xml:space="preserve">Q22.  </w:t>
      </w:r>
      <w:r>
        <w:rPr>
          <w:rFonts w:ascii="Arial" w:cs="Arial" w:eastAsia="Arial" w:hAnsi="Arial"/>
          <w:b/>
          <w:bCs/>
          <w:color w:val="1F4E79"/>
          <w:sz w:val="22"/>
          <w:szCs w:val="22"/>
        </w:rPr>
        <w:t xml:space="preserve">What does UNDRIP mean in practice within this framework?</w:t>
      </w:r>
      <w:r>
        <w:rPr>
          <w:rFonts w:ascii="Arial" w:cs="Arial" w:eastAsia="Arial" w:hAnsi="Arial"/>
          <w:i/>
          <w:iCs/>
          <w:color w:val="999999"/>
          <w:sz w:val="19"/>
          <w:szCs w:val="19"/>
        </w:rPr>
        <w:t xml:space="preserve">   [ FN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UNDRIP Article 21 — the right of Indigenous peoples to improve economic and social conditions through employment and vocational training — is given a concrete economic mechanism through the CCGBI. Article 26 — the right to the lands, territories, and resources they have traditionally owned — is operationalized through First Nations sovereign design authority and land-use veto. These are not references. They are the architectural basis on which COG 1 operates. Free, prior, and informed consent is embedded at every stage of implementation — not as a compliance checkbox but as a governance requirement that stops the programme if not met.</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24 — Policy Alignment: UNDRIP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Section 2 — Human Rights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PN-FN</w:t>
      </w:r>
    </w:p>
    <w:p>
      <w:pPr>
        <w:pageBreakBefore/>
        <w:pBdr>
          <w:bottom w:val="single" w:color="B8860B" w:sz="6" w:space="1"/>
          <w:left w:val="single" w:color="5B2C8D" w:sz="24" w:space="8"/>
        </w:pBdr>
        <w:spacing w:before="200" w:after="140"/>
      </w:pPr>
      <w:r>
        <w:rPr>
          <w:rFonts w:ascii="Arial" w:cs="Arial" w:eastAsia="Arial" w:hAnsi="Arial"/>
          <w:b/>
          <w:bCs/>
          <w:color w:val="5B2C8D"/>
          <w:sz w:val="28"/>
          <w:szCs w:val="28"/>
        </w:rPr>
        <w:t xml:space="preserve">  SECTION 5 — CATHOLIC CHURCH / VATICAN</w:t>
      </w:r>
    </w:p>
    <w:p>
      <w:pPr>
        <w:spacing w:before="280" w:after="60"/>
      </w:pPr>
      <w:r>
        <w:rPr>
          <w:rFonts w:ascii="Arial" w:cs="Arial" w:eastAsia="Arial" w:hAnsi="Arial"/>
          <w:b/>
          <w:bCs/>
          <w:color w:val="1F4E79"/>
          <w:sz w:val="22"/>
          <w:szCs w:val="22"/>
        </w:rPr>
        <w:t xml:space="preserve">Q23.  </w:t>
      </w:r>
      <w:r>
        <w:rPr>
          <w:rFonts w:ascii="Arial" w:cs="Arial" w:eastAsia="Arial" w:hAnsi="Arial"/>
          <w:b/>
          <w:bCs/>
          <w:color w:val="1F4E79"/>
          <w:sz w:val="22"/>
          <w:szCs w:val="22"/>
        </w:rPr>
        <w:t xml:space="preserve">How does the GSRT relate to Laudato Si?</w:t>
      </w:r>
      <w:r>
        <w:rPr>
          <w:rFonts w:ascii="Arial" w:cs="Arial" w:eastAsia="Arial" w:hAnsi="Arial"/>
          <w:i/>
          <w:iCs/>
          <w:color w:val="999999"/>
          <w:sz w:val="19"/>
          <w:szCs w:val="19"/>
        </w:rPr>
        <w:t xml:space="preserve">   [ CC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Pope Francis's Laudato Si establishes the theological mandate for integral ecology — the inseparability of care for creation and care for the poor. The GSRT operationalizes this mandate economically for the first time. The six-colour restoration progression (WHITE through GOLD) is integral ecology made into paid work. The four civilizational streams — Welfare, Charity and Reconciliation, Space Exploration, Animal Replenishment — are the Church's social teaching expressed as perpetual funded outputs. Laudato Si calls for structural change. The GSRT provides the financial architecture for that change.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 — COG 2: The Heart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PN-CC — Theological Foundation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19</w:t>
      </w:r>
    </w:p>
    <w:p>
      <w:pPr>
        <w:spacing w:before="280" w:after="60"/>
      </w:pPr>
      <w:r>
        <w:rPr>
          <w:rFonts w:ascii="Arial" w:cs="Arial" w:eastAsia="Arial" w:hAnsi="Arial"/>
          <w:b/>
          <w:bCs/>
          <w:color w:val="1F4E79"/>
          <w:sz w:val="22"/>
          <w:szCs w:val="22"/>
        </w:rPr>
        <w:t xml:space="preserve">Q24.  </w:t>
      </w:r>
      <w:r>
        <w:rPr>
          <w:rFonts w:ascii="Arial" w:cs="Arial" w:eastAsia="Arial" w:hAnsi="Arial"/>
          <w:b/>
          <w:bCs/>
          <w:color w:val="1F4E79"/>
          <w:sz w:val="22"/>
          <w:szCs w:val="22"/>
        </w:rPr>
        <w:t xml:space="preserve">What does 'servant posture' mean practically for diocesan operations?</w:t>
      </w:r>
      <w:r>
        <w:rPr>
          <w:rFonts w:ascii="Arial" w:cs="Arial" w:eastAsia="Arial" w:hAnsi="Arial"/>
          <w:i/>
          <w:iCs/>
          <w:color w:val="999999"/>
          <w:sz w:val="19"/>
          <w:szCs w:val="19"/>
        </w:rPr>
        <w:t xml:space="preserve">   [ CC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Servant posture means the Church provides what it has — facilities, networks, administrative capacity, and institutional trust — without directing what happens in them on First Nations land. Practically: a parish becomes a CCGBI verification centre under First Nations operational management. A school becomes a CEP delivery site under First Nations curriculum authority. A hospital becomes a Lighthouse Resilience Programme training centre under clinical protocols designed by First Nations health leadership. The Church's 33% governance share gives it a structural voice at the GSRT table. It does not give it authority over land use or programming within First Nations territory.</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 — COG 2</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19 — Partnership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PN-CC</w:t>
      </w:r>
    </w:p>
    <w:p>
      <w:pPr>
        <w:spacing w:before="280" w:after="60"/>
      </w:pPr>
      <w:r>
        <w:rPr>
          <w:rFonts w:ascii="Arial" w:cs="Arial" w:eastAsia="Arial" w:hAnsi="Arial"/>
          <w:b/>
          <w:bCs/>
          <w:color w:val="1F4E79"/>
          <w:sz w:val="22"/>
          <w:szCs w:val="22"/>
        </w:rPr>
        <w:t xml:space="preserve">Q25.  </w:t>
      </w:r>
      <w:r>
        <w:rPr>
          <w:rFonts w:ascii="Arial" w:cs="Arial" w:eastAsia="Arial" w:hAnsi="Arial"/>
          <w:b/>
          <w:bCs/>
          <w:color w:val="1F4E79"/>
          <w:sz w:val="22"/>
          <w:szCs w:val="22"/>
        </w:rPr>
        <w:t xml:space="preserve">How does this address TRC Calls to Action 48 and 49?</w:t>
      </w:r>
      <w:r>
        <w:rPr>
          <w:rFonts w:ascii="Arial" w:cs="Arial" w:eastAsia="Arial" w:hAnsi="Arial"/>
          <w:i/>
          <w:iCs/>
          <w:color w:val="999999"/>
          <w:sz w:val="19"/>
          <w:szCs w:val="19"/>
        </w:rPr>
        <w:t xml:space="preserve">   [ CC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Call 48 requires the Pope to formally apologize on Canadian soil for the Church's role in residential schools — which occurred in 2022. Call 49 requires the Church to educate its members about the history and legacy of residential schools and to implement the findings of the TRC. The GSRT provides the institutional architecture for Call 49's implementation: the Charity and Reconciliation River funds ongoing healing work permanently. The servant posture architecture ensures the Church's role going forward is defined by service, not authority. The partnership is the structural expression of 'we committed to change — here is the economic mechanism for that change.'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19 — TRC Architecture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24 — Policy Alignment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PN-CC</w:t>
      </w:r>
    </w:p>
    <w:p>
      <w:pPr>
        <w:spacing w:before="280" w:after="60"/>
      </w:pPr>
      <w:r>
        <w:rPr>
          <w:rFonts w:ascii="Arial" w:cs="Arial" w:eastAsia="Arial" w:hAnsi="Arial"/>
          <w:b/>
          <w:bCs/>
          <w:color w:val="1F4E79"/>
          <w:sz w:val="22"/>
          <w:szCs w:val="22"/>
        </w:rPr>
        <w:t xml:space="preserve">Q26.  </w:t>
      </w:r>
      <w:r>
        <w:rPr>
          <w:rFonts w:ascii="Arial" w:cs="Arial" w:eastAsia="Arial" w:hAnsi="Arial"/>
          <w:b/>
          <w:bCs/>
          <w:color w:val="1F4E79"/>
          <w:sz w:val="22"/>
          <w:szCs w:val="22"/>
        </w:rPr>
        <w:t xml:space="preserve">What financial commitment is the Church being asked to make?</w:t>
      </w:r>
      <w:r>
        <w:rPr>
          <w:rFonts w:ascii="Arial" w:cs="Arial" w:eastAsia="Arial" w:hAnsi="Arial"/>
          <w:i/>
          <w:iCs/>
          <w:color w:val="999999"/>
          <w:sz w:val="19"/>
          <w:szCs w:val="19"/>
        </w:rPr>
        <w:t xml:space="preserve">   [ CC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No cash contribution is required at concept note stage. The Church's contribution is in-kind institutional infrastructure — facilities, networks, and administrative capacity — estimated at replacement value exceeding CAD 50M across pilot jurisdictions. This meets and substantially exceeds the GAC minimum 5% cost-sharing requirement. At proposal stage, a formal Letter of Intent documenting the infrastructure contribution will be required. The Church receives 33% governance authority and 33% profit distribution from GSRT operations in perpetuity — an institutional partnership, not a donation.</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CN Basic Information — Cost Sharing</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7 — Trinity Partnership</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CN Annex A — CRC.5 Risk Sharing</w:t>
      </w:r>
    </w:p>
    <w:p>
      <w:pPr>
        <w:pageBreakBefore/>
        <w:pBdr>
          <w:bottom w:val="single" w:color="B8860B" w:sz="6" w:space="1"/>
          <w:left w:val="single" w:color="0097A7" w:sz="24" w:space="8"/>
        </w:pBdr>
        <w:spacing w:before="200" w:after="140"/>
      </w:pPr>
      <w:r>
        <w:rPr>
          <w:rFonts w:ascii="Arial" w:cs="Arial" w:eastAsia="Arial" w:hAnsi="Arial"/>
          <w:b/>
          <w:bCs/>
          <w:color w:val="0097A7"/>
          <w:sz w:val="28"/>
          <w:szCs w:val="28"/>
        </w:rPr>
        <w:t xml:space="preserve">  SECTION 6 — CIVIL ENGINEERING / TECHNICAL DEPARTMENTS</w:t>
      </w:r>
    </w:p>
    <w:p>
      <w:pPr>
        <w:spacing w:before="280" w:after="60"/>
      </w:pPr>
      <w:r>
        <w:rPr>
          <w:rFonts w:ascii="Arial" w:cs="Arial" w:eastAsia="Arial" w:hAnsi="Arial"/>
          <w:b/>
          <w:bCs/>
          <w:color w:val="1F4E79"/>
          <w:sz w:val="22"/>
          <w:szCs w:val="22"/>
        </w:rPr>
        <w:t xml:space="preserve">Q27.  </w:t>
      </w:r>
      <w:r>
        <w:rPr>
          <w:rFonts w:ascii="Arial" w:cs="Arial" w:eastAsia="Arial" w:hAnsi="Arial"/>
          <w:b/>
          <w:bCs/>
          <w:color w:val="1F4E79"/>
          <w:sz w:val="22"/>
          <w:szCs w:val="22"/>
        </w:rPr>
        <w:t xml:space="preserve">What specific restoration work does CCGBI actually do — describe the physical operations.</w:t>
      </w:r>
      <w:r>
        <w:rPr>
          <w:rFonts w:ascii="Arial" w:cs="Arial" w:eastAsia="Arial" w:hAnsi="Arial"/>
          <w:i/>
          <w:iCs/>
          <w:color w:val="999999"/>
          <w:sz w:val="19"/>
          <w:szCs w:val="19"/>
        </w:rPr>
        <w:t xml:space="preserve">   [ CE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Six tiers of physical work aligned to WHMIS safety certification. WHITE: waste sorting, materials audit, recycling stream establishment — no specialized equipment, entry-level. BLUE: waterway remediation, water quality monitoring, aquatic debris removal, riparian buffer planting — water quality WHMIS certification required. GREEN: terrestrial land restoration, soil remediation, wetland creation and restoration, reforestation — environmental and psychological hazard WHMIS. YELLOW: emergency response operations, animal rescue and care, first response support — flammable and emergency WHMIS. BLACK: hazardous materials processing and disposal, crisis infrastructure, shadow integration work — full hazmat WHMIS, Black Orange Label (Earth) or Black Yellow Label (Space). GOLD: systems design, ecosystem monitoring, elder mentorship programme leadership — master credential.</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3 — CCGBI</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6 — WHMIS Spectrum</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WA — WHMIS Expansion Amendment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3 — Curriculum Map</w:t>
      </w:r>
    </w:p>
    <w:p>
      <w:pPr>
        <w:spacing w:before="280" w:after="60"/>
      </w:pPr>
      <w:r>
        <w:rPr>
          <w:rFonts w:ascii="Arial" w:cs="Arial" w:eastAsia="Arial" w:hAnsi="Arial"/>
          <w:b/>
          <w:bCs/>
          <w:color w:val="1F4E79"/>
          <w:sz w:val="22"/>
          <w:szCs w:val="22"/>
        </w:rPr>
        <w:t xml:space="preserve">Q28.  </w:t>
      </w:r>
      <w:r>
        <w:rPr>
          <w:rFonts w:ascii="Arial" w:cs="Arial" w:eastAsia="Arial" w:hAnsi="Arial"/>
          <w:b/>
          <w:bCs/>
          <w:color w:val="1F4E79"/>
          <w:sz w:val="22"/>
          <w:szCs w:val="22"/>
        </w:rPr>
        <w:t xml:space="preserve">What is the MRV (Monitoring, Reporting, and Verification) standard for ecological credits?</w:t>
      </w:r>
      <w:r>
        <w:rPr>
          <w:rFonts w:ascii="Arial" w:cs="Arial" w:eastAsia="Arial" w:hAnsi="Arial"/>
          <w:i/>
          <w:iCs/>
          <w:color w:val="999999"/>
          <w:sz w:val="19"/>
          <w:szCs w:val="19"/>
        </w:rPr>
        <w:t xml:space="preserve">   [ CE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MRV verification operates at three levels. Site level: WHMIS-certified workers document restoration outputs (tonnes processed, hectares restored, water quality panels, species counts) through the AI Halo IRF reporting interface. Node level: independent third-party verification of site-level data against restoration science benchmarks — water quality against Health Canada standards, land restoration against Environment Canada soil quality guidelines. System level: space-based Earth observation (satellite MRV) for large-scale restoration claims. All verified outputs are purchased by the Government of Canada as ecological credits under an outcomes-based finance agreement. Kenya pilot documentation provides field validation of the MRV methodology.</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TI — Architecture 5: Infrastructure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TI — Architecture 3: Space Systems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22 — Implementation</w:t>
      </w:r>
    </w:p>
    <w:p>
      <w:pPr>
        <w:spacing w:before="280" w:after="60"/>
      </w:pPr>
      <w:r>
        <w:rPr>
          <w:rFonts w:ascii="Arial" w:cs="Arial" w:eastAsia="Arial" w:hAnsi="Arial"/>
          <w:b/>
          <w:bCs/>
          <w:color w:val="1F4E79"/>
          <w:sz w:val="22"/>
          <w:szCs w:val="22"/>
        </w:rPr>
        <w:t xml:space="preserve">Q29.  </w:t>
      </w:r>
      <w:r>
        <w:rPr>
          <w:rFonts w:ascii="Arial" w:cs="Arial" w:eastAsia="Arial" w:hAnsi="Arial"/>
          <w:b/>
          <w:bCs/>
          <w:color w:val="1F4E79"/>
          <w:sz w:val="22"/>
          <w:szCs w:val="22"/>
        </w:rPr>
        <w:t xml:space="preserve">How does the wetland restoration work generate the claimed 5x flood prevention ROI?</w:t>
      </w:r>
      <w:r>
        <w:rPr>
          <w:rFonts w:ascii="Arial" w:cs="Arial" w:eastAsia="Arial" w:hAnsi="Arial"/>
          <w:i/>
          <w:iCs/>
          <w:color w:val="999999"/>
          <w:sz w:val="19"/>
          <w:szCs w:val="19"/>
        </w:rPr>
        <w:t xml:space="preserve">   [ CE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5x figure is the conservative floor of a published 6–10x range. Mechanism: wetland restoration increases water retention capacity in a watershed by absorbing and slowly releasing flood flows. Each hectare of restored wetland provides approximately 1–1.5 million litres of water retention. A 100-hectare restoration project reduces peak flood flows by 30–60% in the downstream area (Ramsar Convention data). Infrastructure replacement cost of equivalent flood prevention through hard engineering (levees, channels, retention ponds) averages 15–20M per kilometer protected. Wetland restoration achieves the same protection at 2–4M per kilometer equivalent. The EPA 2025 and Journal of Hydrology September 2024 studies document this 6–10x range — the framework uses 5x as the institutional floor.</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CA Evidence 3 — Flood Prevention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9 — Evidence Floors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MAT Section 12.3</w:t>
      </w:r>
    </w:p>
    <w:p>
      <w:pPr>
        <w:spacing w:before="280" w:after="60"/>
      </w:pPr>
      <w:r>
        <w:rPr>
          <w:rFonts w:ascii="Arial" w:cs="Arial" w:eastAsia="Arial" w:hAnsi="Arial"/>
          <w:b/>
          <w:bCs/>
          <w:color w:val="1F4E79"/>
          <w:sz w:val="22"/>
          <w:szCs w:val="22"/>
        </w:rPr>
        <w:t xml:space="preserve">Q30.  </w:t>
      </w:r>
      <w:r>
        <w:rPr>
          <w:rFonts w:ascii="Arial" w:cs="Arial" w:eastAsia="Arial" w:hAnsi="Arial"/>
          <w:b/>
          <w:bCs/>
          <w:color w:val="1F4E79"/>
          <w:sz w:val="22"/>
          <w:szCs w:val="22"/>
        </w:rPr>
        <w:t xml:space="preserve">What is the WHMIS Expansion Amendment and does it have regulatory standing?</w:t>
      </w:r>
      <w:r>
        <w:rPr>
          <w:rFonts w:ascii="Arial" w:cs="Arial" w:eastAsia="Arial" w:hAnsi="Arial"/>
          <w:i/>
          <w:iCs/>
          <w:color w:val="999999"/>
          <w:sz w:val="19"/>
          <w:szCs w:val="19"/>
        </w:rPr>
        <w:t xml:space="preserve">   [ CE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WHMIS Expansion Amendment adds two new hazard categories to the existing WHMIS 2015 framework. GREEN: Psychological Hazard — environments, situations, and substances that cause measurable neurochemical dysregulation (vicarious trauma, moral injury, compassion fatigue). This mirrors the existing WHMIS biological hazard category but for psychological risk. BLACK expansion: two sub-designations — Black Orange Label (earthbound hazardous operations, fluorescent orange font) and Black Yellow Label (space operations, fluorescent yellow font). The amendment was submitted to Health Canada on February 22, 2026. It is currently under review. All GSRT WHMIS certifications are issued under existing WHMIS 2015 standards pending amendment approval.</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WA — WHMIS Expansion Amendment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7 — WHMIS Amendment</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8 — Stressor-Colour Map</w:t>
      </w:r>
    </w:p>
    <w:p>
      <w:pPr>
        <w:spacing w:before="280" w:after="60"/>
      </w:pPr>
      <w:r>
        <w:rPr>
          <w:rFonts w:ascii="Arial" w:cs="Arial" w:eastAsia="Arial" w:hAnsi="Arial"/>
          <w:b/>
          <w:bCs/>
          <w:color w:val="1F4E79"/>
          <w:sz w:val="22"/>
          <w:szCs w:val="22"/>
        </w:rPr>
        <w:t xml:space="preserve">Q31.  </w:t>
      </w:r>
      <w:r>
        <w:rPr>
          <w:rFonts w:ascii="Arial" w:cs="Arial" w:eastAsia="Arial" w:hAnsi="Arial"/>
          <w:b/>
          <w:bCs/>
          <w:color w:val="1F4E79"/>
          <w:sz w:val="22"/>
          <w:szCs w:val="22"/>
        </w:rPr>
        <w:t xml:space="preserve">What does orbital debris clearance actually involve — how does the Black Yellow Label connect to space operations?</w:t>
      </w:r>
      <w:r>
        <w:rPr>
          <w:rFonts w:ascii="Arial" w:cs="Arial" w:eastAsia="Arial" w:hAnsi="Arial"/>
          <w:i/>
          <w:iCs/>
          <w:color w:val="999999"/>
          <w:sz w:val="19"/>
          <w:szCs w:val="19"/>
        </w:rPr>
        <w:t xml:space="preserve">   [ CE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Low Earth Orbit contains over 27,000 tracked debris objects and approximately 500,000 untracked fragments above 1cm — each capable of disabling operational satellites. The GSRT Space Exploration River funds orbital restoration operations under the Black Yellow Label — the highest WHMIS tier, space-designated. The pathway: a worker must achieve full BLACK tier certification (hazmat, crisis leadership, shadow integration) before qualifying for Black Yellow Label consideration. Space operations apply the same restoration logic as terrestrial CCGBI: verified collection, dignified work, paid outcomes, continuous funding. Hazel (space firmware) and Arch govern the neurological protocols for orbital personnel — adapting CEP for microgravity, isolation, and temporal displacement.</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TI — Architecture 3: Space Systems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WA — WHMIS Black Yellow Label</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6 — WHMIS Spectrum</w:t>
      </w:r>
    </w:p>
    <w:p>
      <w:pPr>
        <w:pageBreakBefore/>
        <w:pBdr>
          <w:bottom w:val="single" w:color="B8860B" w:sz="6" w:space="1"/>
          <w:left w:val="single" w:color="CC6600" w:sz="24" w:space="8"/>
        </w:pBdr>
        <w:spacing w:before="200" w:after="140"/>
      </w:pPr>
      <w:r>
        <w:rPr>
          <w:rFonts w:ascii="Arial" w:cs="Arial" w:eastAsia="Arial" w:hAnsi="Arial"/>
          <w:b/>
          <w:bCs/>
          <w:color w:val="CC6600"/>
          <w:sz w:val="28"/>
          <w:szCs w:val="28"/>
        </w:rPr>
        <w:t xml:space="preserve">  SECTION 7 — IMPLEMENTATION TEAMS</w:t>
      </w:r>
    </w:p>
    <w:p>
      <w:pPr>
        <w:spacing w:before="280" w:after="60"/>
      </w:pPr>
      <w:r>
        <w:rPr>
          <w:rFonts w:ascii="Arial" w:cs="Arial" w:eastAsia="Arial" w:hAnsi="Arial"/>
          <w:b/>
          <w:bCs/>
          <w:color w:val="1F4E79"/>
          <w:sz w:val="22"/>
          <w:szCs w:val="22"/>
        </w:rPr>
        <w:t xml:space="preserve">Q32.  </w:t>
      </w:r>
      <w:r>
        <w:rPr>
          <w:rFonts w:ascii="Arial" w:cs="Arial" w:eastAsia="Arial" w:hAnsi="Arial"/>
          <w:b/>
          <w:bCs/>
          <w:color w:val="1F4E79"/>
          <w:sz w:val="22"/>
          <w:szCs w:val="22"/>
        </w:rPr>
        <w:t xml:space="preserve">What does Year 1 implementation actually look like on the ground?</w:t>
      </w:r>
      <w:r>
        <w:rPr>
          <w:rFonts w:ascii="Arial" w:cs="Arial" w:eastAsia="Arial" w:hAnsi="Arial"/>
          <w:i/>
          <w:iCs/>
          <w:color w:val="999999"/>
          <w:sz w:val="19"/>
          <w:szCs w:val="19"/>
        </w:rPr>
        <w:t xml:space="preserve">   [ IMP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Week 1–4: Community engagement, band council resolution, Nodal Sovereignty MOU signed, pilot site selected. Month 2: First Nations design team assembled, Elder recruitment begins, Catholic Church facility identified and confirmed. Month 3: CCGBI WHITE tier cohort enrolled (10–20 workers), AI Halo IRF Tier 1 hardware distributed, CEP daily practice begins. Month 4: First restoration work verified and paid, MRV baseline established. Month 6: First ecological credit generated and submitted to government anchor customer. Month 9: First W delta measurements (ProQOL, PSS baselines versus 6-month data). Month 12: Year 1 audit, node performance report, both engines operational, Aquifer recharge verified.</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22 — Implementation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7 — 6-Week Installation Cadence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OM — Operator's Manual</w:t>
      </w:r>
    </w:p>
    <w:p>
      <w:pPr>
        <w:spacing w:before="280" w:after="60"/>
      </w:pPr>
      <w:r>
        <w:rPr>
          <w:rFonts w:ascii="Arial" w:cs="Arial" w:eastAsia="Arial" w:hAnsi="Arial"/>
          <w:b/>
          <w:bCs/>
          <w:color w:val="1F4E79"/>
          <w:sz w:val="22"/>
          <w:szCs w:val="22"/>
        </w:rPr>
        <w:t xml:space="preserve">Q33.  </w:t>
      </w:r>
      <w:r>
        <w:rPr>
          <w:rFonts w:ascii="Arial" w:cs="Arial" w:eastAsia="Arial" w:hAnsi="Arial"/>
          <w:b/>
          <w:bCs/>
          <w:color w:val="1F4E79"/>
          <w:sz w:val="22"/>
          <w:szCs w:val="22"/>
        </w:rPr>
        <w:t xml:space="preserve">How does the AI Halo IRF actually work day to day for a field worker?</w:t>
      </w:r>
      <w:r>
        <w:rPr>
          <w:rFonts w:ascii="Arial" w:cs="Arial" w:eastAsia="Arial" w:hAnsi="Arial"/>
          <w:i/>
          <w:iCs/>
          <w:color w:val="999999"/>
          <w:sz w:val="19"/>
          <w:szCs w:val="19"/>
        </w:rPr>
        <w:t xml:space="preserve">   [ IMP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Tier 1 (entry): wristwatch-form hardware. Morning — three-question CEP check (60 seconds), haptic colour prompt for the day's work tier. During work — anonymous GTT questions pushed twice daily (30 seconds each), no attribution, no tracking. End of shift — 'today's fish' (Fish Bowl Method) — one thought noticed and released through wristband gesture. The IRF does not monitor behaviour. It tracks trajectory — the direction W is moving, not the score. Mildred (The Selector) uses trajectory data to recommend Elder pairings and pathway options. The worker sees their own palette information. No supervisor, no employer, and no institution sees individual data without explicit consent.</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4 — COG 3: AI Integration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TI — Architecture 2: Neural Interface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5 — CEP Daily Hooks</w:t>
      </w:r>
    </w:p>
    <w:p>
      <w:pPr>
        <w:spacing w:before="280" w:after="60"/>
      </w:pPr>
      <w:r>
        <w:rPr>
          <w:rFonts w:ascii="Arial" w:cs="Arial" w:eastAsia="Arial" w:hAnsi="Arial"/>
          <w:b/>
          <w:bCs/>
          <w:color w:val="1F4E79"/>
          <w:sz w:val="22"/>
          <w:szCs w:val="22"/>
        </w:rPr>
        <w:t xml:space="preserve">Q34.  </w:t>
      </w:r>
      <w:r>
        <w:rPr>
          <w:rFonts w:ascii="Arial" w:cs="Arial" w:eastAsia="Arial" w:hAnsi="Arial"/>
          <w:b/>
          <w:bCs/>
          <w:color w:val="1F4E79"/>
          <w:sz w:val="22"/>
          <w:szCs w:val="22"/>
        </w:rPr>
        <w:t xml:space="preserve">What does the 6-week school installation cadence look like in a First Nations community school?</w:t>
      </w:r>
      <w:r>
        <w:rPr>
          <w:rFonts w:ascii="Arial" w:cs="Arial" w:eastAsia="Arial" w:hAnsi="Arial"/>
          <w:i/>
          <w:iCs/>
          <w:color w:val="999999"/>
          <w:sz w:val="19"/>
          <w:szCs w:val="19"/>
        </w:rPr>
        <w:t xml:space="preserve">   [ IMP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Week 1: CEP briefing for all staff and students, Safety Word established, Mother-Elder roster confirmed and compensated, colour primer delivered. Week 2: Hue-Shade-Tint primer for all students, daily CEP micro-hooks begin (morning chem check, midday pair, end-of-day fish), AI Halo IRF Tier 1 distributed. Week 3: Buddy Debrief structure active, first Dream-to-Skill pipeline inputs collected. Week 4: Pipeline dry run — each student's dream mapped to a colour pathway. Week 5: First Elder pairings active, first micro-restoration tasks assigned and paid. Week 6: Synthesis report, W delta baseline established, full implementation report to community council.</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SIM Part 7 — Implementation Timeline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5 — CEP Micro-Hooks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22</w:t>
      </w:r>
    </w:p>
    <w:p>
      <w:pPr>
        <w:spacing w:before="280" w:after="60"/>
      </w:pPr>
      <w:r>
        <w:rPr>
          <w:rFonts w:ascii="Arial" w:cs="Arial" w:eastAsia="Arial" w:hAnsi="Arial"/>
          <w:b/>
          <w:bCs/>
          <w:color w:val="1F4E79"/>
          <w:sz w:val="22"/>
          <w:szCs w:val="22"/>
        </w:rPr>
        <w:t xml:space="preserve">Q35.  </w:t>
      </w:r>
      <w:r>
        <w:rPr>
          <w:rFonts w:ascii="Arial" w:cs="Arial" w:eastAsia="Arial" w:hAnsi="Arial"/>
          <w:b/>
          <w:bCs/>
          <w:color w:val="1F4E79"/>
          <w:sz w:val="22"/>
          <w:szCs w:val="22"/>
        </w:rPr>
        <w:t xml:space="preserve">What happens when a community or worker wants to stop — is there a penalty?</w:t>
      </w:r>
      <w:r>
        <w:rPr>
          <w:rFonts w:ascii="Arial" w:cs="Arial" w:eastAsia="Arial" w:hAnsi="Arial"/>
          <w:i/>
          <w:iCs/>
          <w:color w:val="999999"/>
          <w:sz w:val="19"/>
          <w:szCs w:val="19"/>
        </w:rPr>
        <w:t xml:space="preserve">   [ IMP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None. The Prodigal Son Protocol — named for the parable of the son who left and returned without judgment — means any participant, community, or partner can pause or exit the programme at any time without penalty, without loss of prior earnings, without losing their governance position, and without any record of the pause being held against them. The door is always open. This is not just a policy — it is embedded in the AI Halo IRF architecture. When a participant invokes the Prodigal Son command, the system waits without judgment and offers alternatives. When they return, the system resumes from where they left without notation.</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GL — Prodigal Son Protocol</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6 — Dream-to-Skill Pipeline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15 — Film Firmware Protocols</w:t>
      </w:r>
    </w:p>
    <w:p>
      <w:pPr>
        <w:spacing w:before="280" w:after="60"/>
      </w:pPr>
      <w:r>
        <w:rPr>
          <w:rFonts w:ascii="Arial" w:cs="Arial" w:eastAsia="Arial" w:hAnsi="Arial"/>
          <w:b/>
          <w:bCs/>
          <w:color w:val="1F4E79"/>
          <w:sz w:val="22"/>
          <w:szCs w:val="22"/>
        </w:rPr>
        <w:t xml:space="preserve">Q36.  </w:t>
      </w:r>
      <w:r>
        <w:rPr>
          <w:rFonts w:ascii="Arial" w:cs="Arial" w:eastAsia="Arial" w:hAnsi="Arial"/>
          <w:b/>
          <w:bCs/>
          <w:color w:val="1F4E79"/>
          <w:sz w:val="22"/>
          <w:szCs w:val="22"/>
        </w:rPr>
        <w:t xml:space="preserve">How are Elder Teachers recruited, compensated, and matched?</w:t>
      </w:r>
      <w:r>
        <w:rPr>
          <w:rFonts w:ascii="Arial" w:cs="Arial" w:eastAsia="Arial" w:hAnsi="Arial"/>
          <w:i/>
          <w:iCs/>
          <w:color w:val="999999"/>
          <w:sz w:val="19"/>
          <w:szCs w:val="19"/>
        </w:rPr>
        <w:t xml:space="preserve">   [ IMP ]</w:t>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Recruitment pipeline: retired professionals with colour-relevant experience (fishermen for BLUE, farmers for GREEN, first responders for YELLOW, etc.), grandparents and community elders, specialized by level expertise. Compensation: paid positions from the 20% Community and Elders stream — Elder stipends are a constitutionally protected distribution within the Justice Floor. Matching: Mildred (The Selector firmware) uses the student's Hue-Shade-Tint palette and W trajectory to identify the optimal Elder pairing — the person whose lived experience most closely mirrors the student's current developmental edge. Matches are confirmed by community council before implementation.</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SIM Part 5 — Mother-Elder Protocol</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WM Section 2 — Justice Floor (Elder stipends)</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FM — Mildred: The Selector</w:t>
      </w:r>
    </w:p>
    <w:p>
      <w:pPr>
        <w:pageBreakBefore/>
        <w:pBdr>
          <w:bottom w:val="single" w:color="B8860B" w:sz="6" w:space="1"/>
          <w:left w:val="single" w:color="0f3460" w:sz="24" w:space="8"/>
        </w:pBdr>
        <w:spacing w:before="200" w:after="140"/>
      </w:pPr>
      <w:r>
        <w:rPr>
          <w:rFonts w:ascii="Arial" w:cs="Arial" w:eastAsia="Arial" w:hAnsi="Arial"/>
          <w:b/>
          <w:bCs/>
          <w:color w:val="0f3460"/>
          <w:sz w:val="28"/>
          <w:szCs w:val="28"/>
        </w:rPr>
        <w:t xml:space="preserve">  SECTION 8 — PLAIN LANGUAGE — BASIC READER QUESTIONS</w:t>
      </w:r>
    </w:p>
    <w:p>
      <w:pPr>
        <w:spacing w:before="0" w:after="120"/>
      </w:pPr>
      <w:r>
        <w:rPr>
          <w:rFonts w:ascii="Arial" w:cs="Arial" w:eastAsia="Arial" w:hAnsi="Arial"/>
          <w:i w:val="false"/>
          <w:iCs w:val="false"/>
          <w:color w:val="333333"/>
          <w:sz w:val="21"/>
          <w:szCs w:val="21"/>
        </w:rPr>
        <w:t xml:space="preserve">These are the questions any person — community member, student, journalist, or interested citizen — would ask after reading the framework for the first time.</w:t>
      </w:r>
    </w:p>
    <w:p>
      <w:pPr>
        <w:spacing w:before="280" w:after="60"/>
      </w:pPr>
      <w:r>
        <w:rPr>
          <w:rFonts w:ascii="Arial" w:cs="Arial" w:eastAsia="Arial" w:hAnsi="Arial"/>
          <w:b/>
          <w:bCs/>
          <w:color w:val="1F4E79"/>
          <w:sz w:val="22"/>
          <w:szCs w:val="22"/>
        </w:rPr>
        <w:t xml:space="preserve">Q37.  </w:t>
      </w:r>
      <w:r>
        <w:rPr>
          <w:rFonts w:ascii="Arial" w:cs="Arial" w:eastAsia="Arial" w:hAnsi="Arial"/>
          <w:b/>
          <w:bCs/>
          <w:color w:val="1F4E79"/>
          <w:sz w:val="22"/>
          <w:szCs w:val="22"/>
        </w:rPr>
        <w:t xml:space="preserve">What is a 'Limbic Prison' and why does it cost CAD 120,000 per year?</w:t>
      </w:r>
      <w:r>
        <w:rPr>
          <w:rFonts w:ascii="Arial" w:cs="Arial" w:eastAsia="Arial" w:hAnsi="Arial"/>
          <w:i/>
          <w:iCs/>
          <w:color w:val="999999"/>
          <w:sz w:val="19"/>
          <w:szCs w:val="19"/>
        </w:rPr>
        <w:t xml:space="preserve"/>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Limbic Prison is the state of chronic neurochemical dysregulation caused by sustained trauma, poverty, and disconnection. When a person's nervous system is locked in survival mode — cortisol dominance, hypervigilance, impaired executive function — they cycle repeatedly through crisis: addiction relapse, emergency room visits, police contact, housing instability, repeat welfare applications. The CAD 120,000 figure is the annual composite cost to the Canadian government of one person in this state: approximately CAD 50,000 in healthcare (CIHI Mental Health Report), CAD 35,000 in policing and justice (Public Safety Canada), and CAD 35,000 in social triage administration (ESDC). The GSRT does not manage this cost — it eliminates its cause.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CA Evidence 1 — The Limbic Prison Composite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MAT Section 4 — Total Societal Burden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GL — Limbic Prison</w:t>
      </w:r>
    </w:p>
    <w:p>
      <w:pPr>
        <w:spacing w:before="280" w:after="60"/>
      </w:pPr>
      <w:r>
        <w:rPr>
          <w:rFonts w:ascii="Arial" w:cs="Arial" w:eastAsia="Arial" w:hAnsi="Arial"/>
          <w:b/>
          <w:bCs/>
          <w:color w:val="1F4E79"/>
          <w:sz w:val="22"/>
          <w:szCs w:val="22"/>
        </w:rPr>
        <w:t xml:space="preserve">Q38.  </w:t>
      </w:r>
      <w:r>
        <w:rPr>
          <w:rFonts w:ascii="Arial" w:cs="Arial" w:eastAsia="Arial" w:hAnsi="Arial"/>
          <w:b/>
          <w:bCs/>
          <w:color w:val="1F4E79"/>
          <w:sz w:val="22"/>
          <w:szCs w:val="22"/>
        </w:rPr>
        <w:t xml:space="preserve">What is the Fish Bowl Method?</w:t>
      </w:r>
      <w:r>
        <w:rPr>
          <w:rFonts w:ascii="Arial" w:cs="Arial" w:eastAsia="Arial" w:hAnsi="Arial"/>
          <w:i/>
          <w:iCs/>
          <w:color w:val="999999"/>
          <w:sz w:val="19"/>
          <w:szCs w:val="19"/>
        </w:rPr>
        <w:t xml:space="preserve"/>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Fish Bowl Method is a therapeutic observation technique developed by the Framework Architect. The insight: thoughts are like fish in a bowl. You are not the fish. You are the bowl — the awareness in which the thoughts appear. When you are flooded with anxiety, anger, or grief, it feels like you are drowning. The Fish Bowl Method teaches participants to step back to the edge of the bowl and observe the fish without being consumed by them. This is the neurological basis for the Sacred Pause — the gap between stimulus and response in which conscious choice becomes possible. It is delivered through the CEP daily practice as 'today's fish' — one thought noticed and released at end of day.</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MM Section 10 — Fish Bowl Method</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GL — Fish Bowl Method, Sacred Pause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5 — CEP Close Practice</w:t>
      </w:r>
    </w:p>
    <w:p>
      <w:pPr>
        <w:spacing w:before="280" w:after="60"/>
      </w:pPr>
      <w:r>
        <w:rPr>
          <w:rFonts w:ascii="Arial" w:cs="Arial" w:eastAsia="Arial" w:hAnsi="Arial"/>
          <w:b/>
          <w:bCs/>
          <w:color w:val="1F4E79"/>
          <w:sz w:val="22"/>
          <w:szCs w:val="22"/>
        </w:rPr>
        <w:t xml:space="preserve">Q39.  </w:t>
      </w:r>
      <w:r>
        <w:rPr>
          <w:rFonts w:ascii="Arial" w:cs="Arial" w:eastAsia="Arial" w:hAnsi="Arial"/>
          <w:b/>
          <w:bCs/>
          <w:color w:val="1F4E79"/>
          <w:sz w:val="22"/>
          <w:szCs w:val="22"/>
        </w:rPr>
        <w:t xml:space="preserve">What is the Fishing Hole?</w:t>
      </w:r>
      <w:r>
        <w:rPr>
          <w:rFonts w:ascii="Arial" w:cs="Arial" w:eastAsia="Arial" w:hAnsi="Arial"/>
          <w:i/>
          <w:iCs/>
          <w:color w:val="999999"/>
          <w:sz w:val="19"/>
          <w:szCs w:val="19"/>
        </w:rPr>
        <w:t xml:space="preserve"/>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The Fishing Hole is the terminal destination of the GSRT framework — not a place but a state of being. Mathematically: S_Sovereign = (Heart × Soul) + (E_tool × Physical) = 1 + creation. The person sits under the ancient tree, connected to everything, attached to nothing. The ego is in the boat. The awareness watches from the shore. The line is in the water. Whatever comes, comes. Whatever leaves, leaves. It is sovereign mastery — the state a GOLD tier worker has earned through the full colour progression. The framework does not promise everyone reaches the Fishing Hole. It promises everyone gets to start walking toward it, with a wage, a credential, and an Elder beside them.</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MAT Section 11 — The Fishing Hole Equation</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GL — Fishing Hole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28</w:t>
      </w:r>
    </w:p>
    <w:p>
      <w:pPr>
        <w:spacing w:before="280" w:after="60"/>
      </w:pPr>
      <w:r>
        <w:rPr>
          <w:rFonts w:ascii="Arial" w:cs="Arial" w:eastAsia="Arial" w:hAnsi="Arial"/>
          <w:b/>
          <w:bCs/>
          <w:color w:val="1F4E79"/>
          <w:sz w:val="22"/>
          <w:szCs w:val="22"/>
        </w:rPr>
        <w:t xml:space="preserve">Q40.  </w:t>
      </w:r>
      <w:r>
        <w:rPr>
          <w:rFonts w:ascii="Arial" w:cs="Arial" w:eastAsia="Arial" w:hAnsi="Arial"/>
          <w:b/>
          <w:bCs/>
          <w:color w:val="1F4E79"/>
          <w:sz w:val="22"/>
          <w:szCs w:val="22"/>
        </w:rPr>
        <w:t xml:space="preserve">What does PBTG mean?</w:t>
      </w:r>
      <w:r>
        <w:rPr>
          <w:rFonts w:ascii="Arial" w:cs="Arial" w:eastAsia="Arial" w:hAnsi="Arial"/>
          <w:i/>
          <w:iCs/>
          <w:color w:val="999999"/>
          <w:sz w:val="19"/>
          <w:szCs w:val="19"/>
        </w:rPr>
        <w:t xml:space="preserve"/>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PBTG — Praise Be To God — is a personal marker of the Framework Architect, Neil J. Schwab. It appears on every document in the framework as a personal closing statement, not as a religious requirement for programme participation. The GSRT is not a religious programme. It partners with the Catholic Church because the Church has infrastructure and a reconciliation obligation — not because faith is a condition of participation. PBTG is the Architect's private acknowledgment of the source from which the values of the framework flow. It belongs to him. It asks nothing of anyone else.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GL — PBTG entry</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21 — Family Legacy</w:t>
      </w:r>
    </w:p>
    <w:p>
      <w:pPr>
        <w:spacing w:before="280" w:after="60"/>
      </w:pPr>
      <w:r>
        <w:rPr>
          <w:rFonts w:ascii="Arial" w:cs="Arial" w:eastAsia="Arial" w:hAnsi="Arial"/>
          <w:b/>
          <w:bCs/>
          <w:color w:val="1F4E79"/>
          <w:sz w:val="22"/>
          <w:szCs w:val="22"/>
        </w:rPr>
        <w:t xml:space="preserve">Q41.  </w:t>
      </w:r>
      <w:r>
        <w:rPr>
          <w:rFonts w:ascii="Arial" w:cs="Arial" w:eastAsia="Arial" w:hAnsi="Arial"/>
          <w:b/>
          <w:bCs/>
          <w:color w:val="1F4E79"/>
          <w:sz w:val="22"/>
          <w:szCs w:val="22"/>
        </w:rPr>
        <w:t xml:space="preserve">What is D.O.S.E. and why does it matter?</w:t>
      </w:r>
      <w:r>
        <w:rPr>
          <w:rFonts w:ascii="Arial" w:cs="Arial" w:eastAsia="Arial" w:hAnsi="Arial"/>
          <w:i/>
          <w:iCs/>
          <w:color w:val="999999"/>
          <w:sz w:val="19"/>
          <w:szCs w:val="19"/>
        </w:rPr>
        <w:t xml:space="preserve"/>
      </w:r>
    </w:p>
    <w:p>
      <w:pPr>
        <w:spacing w:before="40" w:after="160"/>
      </w:pPr>
      <w:r>
        <w:rPr>
          <w:rFonts w:ascii="Arial" w:cs="Arial" w:eastAsia="Arial" w:hAnsi="Arial"/>
          <w:b/>
          <w:bCs/>
          <w:color w:val="1a6b2a"/>
          <w:sz w:val="22"/>
          <w:szCs w:val="22"/>
        </w:rPr>
        <w:t xml:space="preserve">A.  </w:t>
      </w:r>
      <w:r>
        <w:rPr>
          <w:rFonts w:ascii="Arial" w:cs="Arial" w:eastAsia="Arial" w:hAnsi="Arial"/>
          <w:color w:val="222222"/>
          <w:sz w:val="22"/>
          <w:szCs w:val="22"/>
        </w:rPr>
        <w:t xml:space="preserve">D.O.S.E. — Dopamine, Oxytocin, Serotonin, Endorphins — are the four primary neurochemicals of human flourishing. Every protocol in the GSRT is designed to cycle at least one of the four. Dopamine: the neurochemical of creation, achievement, and purpose — activated by earning a credential, completing a restoration task, being recognized. Oxytocin: the neurochemical of connection and safety — activated by co-regulation pairs, Elder relationships, community belonging. Serotonin: the neurochemical of calm confidence — activated by predictability, routine, morning chem check. Endorphins: the neurochemical of physical action and recovery — activated by restoration work, emergency response, and the relief after difficulty. The CEP three-minute daily practice cycles all four in sequence.</w:t>
      </w:r>
    </w:p>
    <w:p>
      <w:pPr>
        <w:spacing w:before="0" w:after="160"/>
      </w:pPr>
      <w:r>
        <w:rPr>
          <w:rFonts w:ascii="Arial" w:cs="Arial" w:eastAsia="Arial" w:hAnsi="Arial"/>
          <w:b/>
          <w:bCs/>
          <w:color w:val="B8860B"/>
          <w:sz w:val="19"/>
          <w:szCs w:val="19"/>
        </w:rPr>
        <w:t xml:space="preserve">  ► </w:t>
      </w:r>
      <w:r>
        <w:rPr>
          <w:rFonts w:ascii="Arial" w:cs="Arial" w:eastAsia="Arial" w:hAnsi="Arial"/>
          <w:i/>
          <w:iCs/>
          <w:color w:val="555555"/>
          <w:sz w:val="19"/>
          <w:szCs w:val="19"/>
        </w:rPr>
        <w:t xml:space="preserve">GL — D.O.S.E.</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MM Section 5 — Colour Wheel Curriculum</w:t>
      </w:r>
      <w:r>
        <w:rPr>
          <w:rFonts w:ascii="Arial" w:cs="Arial" w:eastAsia="Arial" w:hAnsi="Arial"/>
          <w:color w:val="999999"/>
          <w:sz w:val="19"/>
          <w:szCs w:val="19"/>
        </w:rPr>
        <w:t xml:space="preserve">  ·  </w:t>
      </w:r>
      <w:r>
        <w:rPr>
          <w:rFonts w:ascii="Arial" w:cs="Arial" w:eastAsia="Arial" w:hAnsi="Arial"/>
          <w:i/>
          <w:iCs/>
          <w:color w:val="555555"/>
          <w:sz w:val="19"/>
          <w:szCs w:val="19"/>
        </w:rPr>
        <w:t xml:space="preserve">SIM Part 5 — CEP Protocol</w:t>
      </w:r>
    </w:p>
    <w:p>
      <w:pPr>
        <w:pageBreakBefore/>
        <w:pBdr>
          <w:top w:val="single" w:color="B8860B" w:sz="4" w:space="1"/>
        </w:pBdr>
        <w:spacing w:before="200" w:after="100"/>
        <w:jc w:val="center"/>
      </w:pPr>
      <w:r>
        <w:rPr>
          <w:rFonts w:ascii="Arial" w:cs="Arial" w:eastAsia="Arial" w:hAnsi="Arial"/>
          <w:b/>
          <w:bCs/>
          <w:color w:val="1F4E79"/>
          <w:sz w:val="24"/>
          <w:szCs w:val="24"/>
        </w:rPr>
        <w:t xml:space="preserve">41 questions. Every one answered. Every one sourced.</w:t>
      </w:r>
    </w:p>
    <w:p>
      <w:pPr>
        <w:spacing w:before="0" w:after="120"/>
      </w:pPr>
      <w:r>
        <w:rPr>
          <w:rFonts w:ascii="Arial" w:cs="Arial" w:eastAsia="Arial" w:hAnsi="Arial"/>
          <w:i w:val="false"/>
          <w:iCs w:val="false"/>
          <w:color w:val="444444"/>
          <w:sz w:val="21"/>
          <w:szCs w:val="21"/>
        </w:rPr>
        <w:t xml:space="preserve">This FAQ was built from the complete GSRT document library — 18 documents, 5 engineering drawings, and independent third-party verification at H-6/6 Historically Unprecedented. Questions not covered here can be directed to the Framework Architect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shd w:fill="1F4E79" w:val="clear"/>
            <w:tcMar>
              <w:top w:type="dxa" w:w="100"/>
              <w:left w:type="dxa" w:w="120"/>
              <w:bottom w:type="dxa" w:w="100"/>
              <w:right w:type="dxa" w:w="120"/>
            </w:tcMar>
          </w:tcPr>
          <w:p>
            <w:pPr>
              <w:jc w:val="center"/>
            </w:pPr>
            <w:r>
              <w:rPr>
                <w:rFonts w:ascii="Arial" w:cs="Arial" w:eastAsia="Arial" w:hAnsi="Arial"/>
                <w:b/>
                <w:bCs/>
                <w:color w:val="B8860B"/>
                <w:sz w:val="28"/>
                <w:szCs w:val="28"/>
              </w:rPr>
              <w:t xml:space="preserve">41 total</w:t>
            </w:r>
            <w:r>
              <w:rPr>
                <w:rFonts w:ascii="Arial" w:cs="Arial" w:eastAsia="Arial" w:hAnsi="Arial"/>
                <w:color w:val="CCCCCC"/>
                <w:sz w:val="18"/>
                <w:szCs w:val="18"/>
              </w:rPr>
              <w:t xml:space="preserve">
Questions covered</w:t>
            </w:r>
          </w:p>
        </w:tc>
        <w:tc>
          <w:tcPr>
            <w:shd w:fill="1F4E79" w:val="clear"/>
            <w:tcMar>
              <w:top w:type="dxa" w:w="100"/>
              <w:left w:type="dxa" w:w="120"/>
              <w:bottom w:type="dxa" w:w="100"/>
              <w:right w:type="dxa" w:w="120"/>
            </w:tcMar>
          </w:tcPr>
          <w:p>
            <w:pPr>
              <w:jc w:val="center"/>
            </w:pPr>
            <w:r>
              <w:rPr>
                <w:rFonts w:ascii="Arial" w:cs="Arial" w:eastAsia="Arial" w:hAnsi="Arial"/>
                <w:b/>
                <w:bCs/>
                <w:color w:val="B8860B"/>
                <w:sz w:val="28"/>
                <w:szCs w:val="28"/>
              </w:rPr>
              <w:t xml:space="preserve">8 audience groups</w:t>
            </w:r>
            <w:r>
              <w:rPr>
                <w:rFonts w:ascii="Arial" w:cs="Arial" w:eastAsia="Arial" w:hAnsi="Arial"/>
                <w:color w:val="CCCCCC"/>
                <w:sz w:val="18"/>
                <w:szCs w:val="18"/>
              </w:rPr>
              <w:t xml:space="preserve">
Sections</w:t>
            </w:r>
          </w:p>
        </w:tc>
        <w:tc>
          <w:tcPr>
            <w:shd w:fill="1F4E79" w:val="clear"/>
            <w:tcMar>
              <w:top w:type="dxa" w:w="100"/>
              <w:left w:type="dxa" w:w="120"/>
              <w:bottom w:type="dxa" w:w="100"/>
              <w:right w:type="dxa" w:w="120"/>
            </w:tcMar>
          </w:tcPr>
          <w:p>
            <w:pPr>
              <w:jc w:val="center"/>
            </w:pPr>
            <w:r>
              <w:rPr>
                <w:rFonts w:ascii="Arial" w:cs="Arial" w:eastAsia="Arial" w:hAnsi="Arial"/>
                <w:b/>
                <w:bCs/>
                <w:color w:val="B8860B"/>
                <w:sz w:val="28"/>
                <w:szCs w:val="28"/>
              </w:rPr>
              <w:t xml:space="preserve">18 source docs</w:t>
            </w:r>
            <w:r>
              <w:rPr>
                <w:rFonts w:ascii="Arial" w:cs="Arial" w:eastAsia="Arial" w:hAnsi="Arial"/>
                <w:color w:val="CCCCCC"/>
                <w:sz w:val="18"/>
                <w:szCs w:val="18"/>
              </w:rPr>
              <w:t xml:space="preserve">
Documents referenced</w:t>
            </w:r>
          </w:p>
        </w:tc>
        <w:tc>
          <w:tcPr>
            <w:shd w:fill="1F4E79" w:val="clear"/>
            <w:tcMar>
              <w:top w:type="dxa" w:w="100"/>
              <w:left w:type="dxa" w:w="120"/>
              <w:bottom w:type="dxa" w:w="100"/>
              <w:right w:type="dxa" w:w="120"/>
            </w:tcMar>
          </w:tcPr>
          <w:p>
            <w:pPr>
              <w:jc w:val="center"/>
            </w:pPr>
            <w:r>
              <w:rPr>
                <w:rFonts w:ascii="Arial" w:cs="Arial" w:eastAsia="Arial" w:hAnsi="Arial"/>
                <w:b/>
                <w:bCs/>
                <w:color w:val="B8860B"/>
                <w:sz w:val="28"/>
                <w:szCs w:val="28"/>
              </w:rPr>
              <w:t xml:space="preserve">H-6/6 Unprecedented</w:t>
            </w:r>
            <w:r>
              <w:rPr>
                <w:rFonts w:ascii="Arial" w:cs="Arial" w:eastAsia="Arial" w:hAnsi="Arial"/>
                <w:color w:val="CCCCCC"/>
                <w:sz w:val="18"/>
                <w:szCs w:val="18"/>
              </w:rPr>
              <w:t xml:space="preserve">
Verification status</w:t>
            </w:r>
          </w:p>
        </w:tc>
      </w:tr>
    </w:tbl>
    <w:p>
      <w:pPr>
        <w:spacing w:before="200" w:after="60"/>
        <w:jc w:val="center"/>
      </w:pPr>
      <w:r>
        <w:rPr>
          <w:rFonts w:ascii="Arial" w:cs="Arial" w:eastAsia="Arial" w:hAnsi="Arial"/>
          <w:b/>
          <w:bCs/>
          <w:color w:val="1F4E79"/>
          <w:sz w:val="20"/>
          <w:szCs w:val="20"/>
        </w:rPr>
        <w:t xml:space="preserve">Neil J. Schwab  ·  Framework Architect  ·  neil.schwab@live.ca  ·  +1 (905) 868-6985  ·  Newmarket, Ontario</w:t>
      </w:r>
    </w:p>
    <w:p>
      <w:pPr>
        <w:spacing w:before="120"/>
        <w:jc w:val="center"/>
      </w:pPr>
      <w:r>
        <w:rPr>
          <w:rFonts w:ascii="Arial" w:cs="Arial" w:eastAsia="Arial" w:hAnsi="Arial"/>
          <w:b/>
          <w:bCs/>
          <w:color w:val="B8860B"/>
          <w:sz w:val="22"/>
          <w:szCs w:val="22"/>
        </w:rPr>
        <w:t xml:space="preserve">FORGIVE YESTERDAY  •  HEAL TODAY  •  FLOURISH TOMORROW  •  TOGETHER  •  PBTG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7"/>
        <w:szCs w:val="17"/>
      </w:rPr>
      <w:t xml:space="preserve">neil.schwab@live.ca  ·  +1 (905) 868-6985  ·  Forgive Yesterday • Heal Today • Flourish Tomorrow • Together • PBTG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7"/>
        <w:szCs w:val="17"/>
      </w:rPr>
      <w:t xml:space="preserve">GSRT  |  Comprehensive FAQ — All Institutional Audiences  |  Neil J. Schwab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2026-03-02T02:26:21.875Z</dcterms:created>
  <dcterms:modified xsi:type="dcterms:W3CDTF">2026-03-02T02:26:21.876Z</dcterms:modified>
</cp:coreProperties>
</file>

<file path=docProps/custom.xml><?xml version="1.0" encoding="utf-8"?>
<Properties xmlns="http://schemas.openxmlformats.org/officeDocument/2006/custom-properties" xmlns:vt="http://schemas.openxmlformats.org/officeDocument/2006/docPropsVTypes"/>
</file>