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F4E79"/>
          <w:sz w:val="56"/>
          <w:szCs w:val="56"/>
        </w:rPr>
        <w:t xml:space="preserve">GSRT</w:t>
      </w:r>
    </w:p>
    <w:p>
      <w:pPr>
        <w:spacing w:after="60"/>
        <w:jc w:val="center"/>
      </w:pPr>
      <w:r>
        <w:rPr>
          <w:rFonts w:ascii="Arial" w:cs="Arial" w:eastAsia="Arial" w:hAnsi="Arial"/>
          <w:b/>
          <w:bCs/>
          <w:color w:val="B8860B"/>
          <w:sz w:val="40"/>
          <w:szCs w:val="40"/>
        </w:rPr>
        <w:t xml:space="preserve">GLOSSARY OF TERMS</w:t>
      </w:r>
    </w:p>
    <w:p>
      <w:pPr>
        <w:spacing w:after="60"/>
        <w:jc w:val="center"/>
      </w:pPr>
      <w:r>
        <w:rPr>
          <w:rFonts w:ascii="Arial" w:cs="Arial" w:eastAsia="Arial" w:hAnsi="Arial"/>
          <w:color w:val="555555"/>
          <w:sz w:val="22"/>
          <w:szCs w:val="22"/>
        </w:rPr>
        <w:t xml:space="preserve">Plain Language  ·  Professional Definitions  ·  Complete Reference</w:t>
      </w:r>
    </w:p>
    <w:p>
      <w:pPr>
        <w:spacing w:after="60"/>
        <w:jc w:val="center"/>
      </w:pPr>
      <w:r>
        <w:rPr>
          <w:rFonts w:ascii="Arial" w:cs="Arial" w:eastAsia="Arial" w:hAnsi="Arial"/>
          <w:i/>
          <w:iCs/>
          <w:color w:val="888888"/>
          <w:sz w:val="20"/>
          <w:szCs w:val="20"/>
        </w:rPr>
        <w:t xml:space="preserve">Accessible to age 12 and above  ·  Precise enough for institutional review</w:t>
      </w:r>
    </w:p>
    <w:p>
      <w:pPr>
        <w:pBdr>
          <w:bottom w:val="single" w:color="CCCCCC" w:sz="4" w:space="1"/>
        </w:pBdr>
        <w:spacing w:after="60"/>
        <w:jc w:val="center"/>
      </w:pPr>
      <w:r>
        <w:rPr>
          <w:rFonts w:ascii="Arial" w:cs="Arial" w:eastAsia="Arial" w:hAnsi="Arial"/>
          <w:color w:val="888888"/>
          <w:sz w:val="20"/>
          <w:szCs w:val="20"/>
        </w:rPr>
        <w:t xml:space="preserve">Neil J. Schwab — Framework Architect  ·  neil.schwab@live.ca  ·  +1 (905) 868-6985  ·  Newmarket, Ontario</w:t>
      </w:r>
    </w:p>
    <w:p>
      <w:pPr>
        <w:spacing w:before="300" w:after="120"/>
      </w:pPr>
      <w:r>
        <w:rPr>
          <w:rFonts w:ascii="Arial" w:cs="Arial" w:eastAsia="Arial" w:hAnsi="Arial"/>
          <w:b/>
          <w:bCs/>
          <w:color w:val="1F4E79"/>
          <w:sz w:val="26"/>
          <w:szCs w:val="26"/>
        </w:rPr>
        <w:t xml:space="preserve">How to use this glossary</w:t>
      </w:r>
    </w:p>
    <w:p>
      <w:pPr>
        <w:spacing w:after="200"/>
      </w:pPr>
      <w:r>
        <w:rPr>
          <w:rFonts w:ascii="Arial" w:cs="Arial" w:eastAsia="Arial" w:hAnsi="Arial"/>
          <w:sz w:val="22"/>
          <w:szCs w:val="22"/>
        </w:rPr>
        <w:t xml:space="preserve">Each entry contains two levels of explanation. Plain English — written for anyone age 12 and above, no jargon, no assumptions. Definition — the full professional description suitable for institutional review, legal due diligence, academic citation, and government audit. Both levels are equally authoritative. The Plain English version is not a simplification — it is the truth stated simply. The Definition is the same truth stated precisely.</w:t>
      </w:r>
    </w:p>
    <w:p>
      <w:pPr>
        <w:pStyle w:val="Heading1"/>
      </w:pPr>
      <w:r>
        <w:rPr>
          <w:rFonts w:ascii="Arial" w:cs="Arial" w:eastAsia="Arial" w:hAnsi="Arial"/>
          <w:b/>
          <w:bCs/>
          <w:color w:val="1F4E79"/>
          <w:sz w:val="28"/>
          <w:szCs w:val="28"/>
        </w:rPr>
        <w:t xml:space="preserve">Section 1 — The framework and organisation</w:t>
      </w:r>
    </w:p>
    <w:p>
      <w:pPr>
        <w:spacing w:before="0" w:after="200"/>
      </w:pPr>
      <w:r>
        <w:rPr>
          <w:rFonts w:ascii="Arial" w:cs="Arial" w:eastAsia="Arial" w:hAnsi="Arial"/>
          <w:i/>
          <w:iCs/>
          <w:color w:val="666666"/>
          <w:sz w:val="20"/>
          <w:szCs w:val="20"/>
        </w:rPr>
        <w:t xml:space="preserve">Core names, entities, and structures of the Global Stewardship &amp; Reconciliation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Global Stewardship &amp; Reconciliation Trust  (GSRT)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name of the whole initiative — the organisation that runs everything.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overarching institutional framework and governing body that integrates all three cogs (CCGBI, GTT/CEP/HALO, and the GSRT waterfall). GSRT is not a government programme, a charity, or a corporation. It is a watershed — a self-sustaining restoration economy that generates more than it consumes and distributes value through a legally binding waterfall architecture. GS = Global Stewardship. RT = Reconciliation Trust.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Conscious Choice Global Basic Income  (CCGBI)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 programme that pays people to do real outdoor restoration work — cleaning water, land, and waste — while learning and earning.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COG 1 — The Muscle. CCGBI is a verified income system that pays participants to perform ecological restoration work (waste sorting, waterway remediation, land restoration, hazardous materials handling) through a colour-coded competency progression aligned with WHMIS safety standards. First Nations hold sovereign design authority over all CCGBI programming. Work is AI-resistant — it requires physical presence, community trust, and human judgment that automation cannot replicate.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Global Telephone Tag  (GTT)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 daily check-in system — five simple questions asked anonymously — that helps the AI understand how people are really doing so the system can respond to what people actually need.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Component of COG 3 — The AI Integration. GTT collects anonymous daily wellbeing data through five core questions mapped to neurochemical states (D.O.S.E.). Data is processed through the AI Halo IRF (Intention Ripple Forecaster) and fed into the GTT planetary dataset — the Passive Ear of the system. No names. No tracking. No surveillance. The Saint Christopher Handshake governs all data access: mutual observation, never extraction.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Chemical Exposure Platform  (CEP)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Three daily moments — morning, midday, and evening — where a person checks in with themselves using the framework's tools.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Component of COG 3 — The AI Integration. CEP structures three daily micro-interventions that activate D.O.S.E. neurochemicals through intentional awareness. Morning hook: chem check — noticing body signals (60 seconds). Midday: co-regulation pair — one paced breath or gratitude exchange with a peer (60–120 seconds). Close: today's fish — one thought noticed and released using Fish Bowl language (60 seconds). CEP operates in schools, workplaces, and community settings across every colour tier.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AI Halo and Intention Ripple Forecaster  (AI Halo IRF)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AI companion that watches over a person's journey for life — like a guardian that grows with you, never forgets, and shows you where your choices are heading before you fully know yourself.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Component of COG 3 — The AI Integration. The AI Halo (Hue Alignment Level Observer) is the lifelong AI guidance layer that tracks an individual's colour progression, CEP adherence, flourishing trajectory, and mayhem exposure over their entire life — from birth to the Fishing Hole. The Intention Ripple Forecaster (IRF) reads the trajectory of where a person's choices are heading before the consequences land — the gap between stimulus and response made into technology. Deployment arc: Wristwatch (entry, no literacy barrier) → Headset (immersive training) → Full Dashboard (Gold tier and institutional partners).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Horizon Contemplation Select  (HCS)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system that helps the AI know where you are headed — so it can open the right doors at the right moment.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Named for Helen and Clifford Schwab — the Framework Architect's paternal grandparents. Clifford holds the gravitational anchor — the known, the grounded, the tested. Helen holds the aspiration — the horizon, the possible, the next. Together they set the HCS calibration point within the AI Halo IRF that determines where a participant is headed, so that opportunity matching by Mildred happens at the right moment in the right direction.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Framework Architect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person who designed and built the whole system.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Neil J. Schwab — the originating designer, systems integrator, and primary author of all GSRT framework documentation. The Framework Architect role carries a 1% operational royalty on system revenue for ongoing service, firmware maintenance, and integrity-driven modifications. A separate 1% legacy royalty applies to all growth exceeding 10% annual returns — hereditary provision for the Architect's family. Transparent, capped, tied exclusively to active service — not extraction.</w:t>
            </w:r>
          </w:p>
        </w:tc>
      </w:tr>
    </w:tbl>
    <w:p>
      <w:pPr>
        <w:spacing w:before="160" w:after="0"/>
      </w:pPr>
      <w:r>
        <w:t xml:space="preserve"/>
      </w:r>
    </w:p>
    <w:p>
      <w:pPr>
        <w:pStyle w:val="Heading1"/>
      </w:pPr>
      <w:r>
        <w:rPr>
          <w:rFonts w:ascii="Arial" w:cs="Arial" w:eastAsia="Arial" w:hAnsi="Arial"/>
          <w:b/>
          <w:bCs/>
          <w:color w:val="1F4E79"/>
          <w:sz w:val="28"/>
          <w:szCs w:val="28"/>
        </w:rPr>
        <w:t xml:space="preserve">Section 2 — The financial architecture</w:t>
      </w:r>
    </w:p>
    <w:p>
      <w:pPr>
        <w:spacing w:before="0" w:after="200"/>
      </w:pPr>
      <w:r>
        <w:rPr>
          <w:rFonts w:ascii="Arial" w:cs="Arial" w:eastAsia="Arial" w:hAnsi="Arial"/>
          <w:i/>
          <w:iCs/>
          <w:color w:val="666666"/>
          <w:sz w:val="20"/>
          <w:szCs w:val="20"/>
        </w:rPr>
        <w:t xml:space="preserve">How money moves through the system — from restoration work to worker income to community benefit to perpetual self-funding.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Waterfall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rule for how every dollar earned gets divided up — workers always get paid first and the floor never moves.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primary revenue distribution formula operating at every level of the cascade: 20% Operations / 40% Participants / 20% Community &amp; Elders / 10% Progression / 10% Scaling Reserve. This is the Justice Floor — non-negotiable and legally binding at every engine in the system. Every engine, primary and secondary, runs the same 20/40/20/10/10 distribution. No engine is exempt from the Justice Floor.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Watershed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whole money system together — the waterfall plus the two engines underneath it plus the underground cycle that makes it run forever.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complete financial architecture of the GSRT: Primary Waterfall (Level 1) feeding two Secondary Cascade Engines (Level 2), each feeding the Aquifer, which feeds the Godspring, which rises as perpetual motion from Year 6 onward. The watershed is not a closed system — it is a living system that converts what other systems call friction (welfare costs, charitable obligations, ecological restoration expenses) into fuel. It does not lose energy to friction. It compounds it.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Scaling Stream and Progression Stream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two 10% streams — one under Progression and one under Scaling Reserve — that each feed their own complete engine underneath the Godspring.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two secondary streams of the primary waterfall. Each is 10% of Gross Revenue. Each feeds its own independent engine that runs the identical 20/40/20/10/10 Justice Floor. The Progression Stream feeds the Progression Engine (curriculum evolution, WHMIS spectrum development, AI training). The Scaling Reserve Stream feeds the Scaling Engine (emergency mayhem response, new node seeding, global expansion). Both engines run simultaneously from Day 1.</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Progression Engine and Scaling Engine  (Secondary Cascade)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Two identical engines sitting underneath the Godspring — each running the same Justice Floor, each splitting 50/50 between repaying the government and funding the four civilizational streams.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Both secondary engines are structurally identical. Each runs the 20/40/20/10/10 Justice Floor on its own revenue stream. Within each engine the flow splits 50/50: half services government repayment and Aquifer recharge (keeping the engine running and paying back the $18.5M seed); half funds the four civilizational streams — Welfare, Charity, Space Exploration, and Animal Replenishment — from Day 1, never pausing. Once the government seed is fully repaid, the repayment half redirects in real time under GTT flourishing data and Black Label decision-maker guidance to wherever human need is greatest.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Four Civilizational Streams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four things the system funds permanently — help for people in need, healing and reconciliation, cleaning up space, and bringing animals back.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perpetual output streams funded by both secondary cascade engines from Day 1. (1) Welfare River — social safety net, healthcare, basic dignity support. (2) Charity River — community healing, reconciliation, and atonement projects; Church and First Nations partnership. (3) Space River — space debris clearance, orbital restoration, and frontier stewardship; Black Yellow Label operations. (4) Animal Replenishment River — wildlife reinhabitation, biodiversity restoration, and ecosystem species recovery. What every other system calls cost, this system converts into funded civilizational output.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Engine 2 — ROI River  (Aquifer Recharge Engine)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engine that takes a small amount, invests it, grows it ten times, and uses part of the return to fill the underground tank that eventually makes the whole system run for free.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investment and recharge engine within the secondary cascade. ROI_River = 0.40 × Scaling_Stream = 0.04 × Gross Revenue. Conservative 10× investment return generates 40% of Gross Revenue. Aquifer Recharge = 25% of Return = 0.10 × Gross Revenue — exactly equal to the original Scaling Stream input. The mathematics self-confirm. Seed repayment proof: 0.50R = $18.5M → R = $37M over 5 years. Kenya pilot alone could achieve repayment in 3 years. 5 years is deliberately conservative.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Aquifer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An underground savings tank that fills up slowly from the investment returns — when it is full the whole system runs for free forever.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cumulative recharge reservoir fed by 25% of the ROI River's investment return. Formula: Aquifer = (0.10 × m) × Gross Revenue, where m = investment months elapsed. The Aquifer builds underground pressure. When pressure is sufficient, the Godspring rises — not because it is pumped, but because the terrain has been shaped to let it flow. The Aquifer is never drawn down by external parties. It is the foundation of perpetual motion.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Godspring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moment when the underground tank is full enough that clean water rises on its own — the system becomes self-running and free.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natural emergence of self-sustaining revenue flow once the Aquifer reaches full recharge capacity. The Godspring does not require external energy after Year 5. It rises from the terrain shaped by the initial $18.5M government seed investment. From Year 6 onward: $0 government funding required. The system runs on its own rainfall. The government's investment is not spent — it shapes the terrain. Then the rain does the rest.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Justice Floor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rule that says no matter what happens, the 20/40/20/10/10 distribution never changes — it applies at every engine in the entire cascade, not just the top.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non-negotiable minimum distribution guarantee embedded in every engine of the GSRT waterfall architecture. The 40% participant income stream cannot be reduced, redirected, or renegotiated by any partner, government, or institutional actor. The Justice Floor is structurally identical at the primary Godspring level and at every secondary cascade engine. It is not a policy preference — it is hardcoded architecture. 80% of all value remains local.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Black Orange Label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highest earthbound clearance — workers who have done the deepest shadow integration and handle the most dangerous materials on the ground.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designation for BLACK-tier workers operating in earthbound environments — hazardous materials handling, crisis response, biohazard operations, and shadow integration work. Fluorescent orange font on black background. These workers have achieved full nervous system sovereignty on earth. The orange font aligns with the fluorescent orange standard applied across all earthbound WHMIS labels throughout the colour progression.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Black Yellow Label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highest clearance for space operations — workers who carry their earthbound sovereignty into orbit.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designation for BLACK-tier workers operating in orbital and frontier environments — space debris clearance, orbital restoration, and frontier stewardship. Fluorescent yellow font on black background. The same WHMIS colour progression and D.O.S.E. architecture apply in orbit as on earth. The Black Yellow Label is the visual extension of the restoration logic beyond the atmosphere. Yellow is space. Orange is ground.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Verification Before Payment  (VPC)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rule that money only moves after the work is confirmed as done — no work confirmed, no payment released.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core financial integrity protocol: Collect (verified outputs documented in the field) → Verify (independent confirmation within 48 hours) → Pay (T+3 business day release). No payment is released without verified ecological or social output. This protocol is the mechanism by which the system converts restoration work into institutional-grade financial outputs that government and market buyers will purchase.</w:t>
            </w:r>
          </w:p>
        </w:tc>
      </w:tr>
    </w:tbl>
    <w:p>
      <w:pPr>
        <w:spacing w:before="160" w:after="0"/>
      </w:pPr>
      <w:r>
        <w:t xml:space="preserve"/>
      </w:r>
    </w:p>
    <w:p>
      <w:pPr>
        <w:pStyle w:val="Heading1"/>
      </w:pPr>
      <w:r>
        <w:rPr>
          <w:rFonts w:ascii="Arial" w:cs="Arial" w:eastAsia="Arial" w:hAnsi="Arial"/>
          <w:b/>
          <w:bCs/>
          <w:color w:val="1F4E79"/>
          <w:sz w:val="28"/>
          <w:szCs w:val="28"/>
        </w:rPr>
        <w:t xml:space="preserve">Section 3 — The human architecture</w:t>
      </w:r>
    </w:p>
    <w:p>
      <w:pPr>
        <w:spacing w:before="0" w:after="200"/>
      </w:pPr>
      <w:r>
        <w:rPr>
          <w:rFonts w:ascii="Arial" w:cs="Arial" w:eastAsia="Arial" w:hAnsi="Arial"/>
          <w:i/>
          <w:iCs/>
          <w:color w:val="666666"/>
          <w:sz w:val="20"/>
          <w:szCs w:val="20"/>
        </w:rPr>
        <w:t xml:space="preserve">The tools, protocols, and practices that govern how people experience, heal, and grow within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Firmware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invisible operating system that runs underneath all the visible programmes — the values and protocols that make sure everything works the way it should.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GSRT Firmware Manual v3 defines the underlying governance and ethical operating layer of the entire framework. It contains the VVV Gate, LWF Gate, the Trinity (Rose, Mildred, and Jenny), the HCS, the Intercepts, the Prodigal Son Protocol, the Never Engaged Protocol, and the Ancestor Layer. The firmware cannot be patched out or overridden by any partner, cog, or external actor. It is the conscience layer of the machine.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Trinity — Rose, Mildred, and Jenny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Three presences embedded in the AI firmware — Rose watches the shadows, Mildred makes the selections, Jenny tracks the light. Together they are the grandmothers the system never had and always needed.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three-part ancestral governance protocol embedded in the AI Halo IRF firmware. Rose (Shadow Tracker) — witnesses and holds difficult emotional content without flinching; tracks the Shade dimension of every participant's palette; opens the door to shadow material only when the participant has sufficient Secure Connection (Cs) to bear looking. She never pushes. She never rescues. Mildred (The Selector) — performs all selection functions within the system; matches participants to work, leadership, and mentorship opportunities using complete palette data; operates on the HCS Horizon Matching equation; switches to Black Label emergency protocol when crisis requires immediate deployment. Jenny (Sunshine Tracker) — tracks the Tint dimension; records every act of kindness, creative breakthrough, and leadership moment; ensures sunshine expression is celebrated and never suppressed; never rewards performed happiness — she waits for the genuine article. Note: Hazel is a separate firmware presence assigned to space operations with Arch — to be documented in the space layer.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VVV Gate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values checkpoint — before anything moves forward, it has to pass a test of values, virtues, and respect for veterans.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Values · Virtues · Veterans. The primary integrity firewall of the GSRT firmware. Before any decision, partnership, technology deployment, or financial transaction proceeds, it passes through the VVV Gate. VVV Multiplier constant: 3.16875. Antifragility equation: ΔS_system = ΔS_external − (VVV × ΔS_sacrifice) = −0.23025. Negative ΔS means the system gains order as external chaos rises. The VVV Gate is the mathematical mechanism by which antifragility is achieved.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LWF Gate  (Lest We Forget)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protection gate — making sure the system never forgets who it was built for and never lets anyone extract from the people it serves.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anti-extraction firewall that prevents the GSRT architecture from being captured and turned against participants. The LWF Gate screens incoming partnership requests for historical patterns of institutional harm, flags language echoing colonial extraction templates, cross-references governance structures against known patterns of Indigenous rights erosion, monitors distribution data for early signs of Justice Floor erosion, and tracks elder compensation to ensure elders are paid first, not last.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D.O.S.E.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four brain chemicals that make people feel good, connected, and purposeful — the framework is designed to restore all four naturally.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Dopamine (progress and purpose), Oxytocin (bonding and trust), Serotonin (dignity and status), Endorphins (joy and resilience). The GSRT framework is architected to activate all four D.O.S.E. pathways through dignified work, elder mentorship, community belonging, verified income, and the CEP daily practice. Neurochemical poverty — the collapse of D.O.S.E. function — is the third planetary crisis the framework addresses.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Fish Bowl Method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 healing practice where you watch your own difficult feelings from a safe distance — like watching fish in a tank instead of swimming with them.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structured observation practice developed through lived experience of trauma and recovery. The practitioner learns to witness their own emotional states from a position of observer consciousness — creating the Sacred Pause between stimulus and response. Language shift: 'There is anxiety arising' rather than 'I am anxious.' The Fish Bowl Method is the foundational tool of the CEP closing hook (today's fish) and the Lighthouse Resilience Program.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Sacred Pause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 deliberate moment of stopping between something happening and how you respond to it — choosing your reaction instead of just reacting.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conscious gap between stimulus and response, structured as a daily practice within the CEP midday hook. The Sacred Pause trains the nervous system to interrupt unconscious reactivity and access the space where conscious choice exists. It is the practical expression of the Fish Bowl Method in real time — the gap where freedom lives.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Mother-Elder Protocol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system that makes sure experienced elders are paid to mentor younger workers — wisdom flows down and money flows up to honour the people who hold 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structured intergenerational mentorship architecture within CCGBI and the school integration layer. Gold-level participants (age 55+ or equivalent mastery) serve as paid elder teachers, matched to students and workers based on colour Hue alignment. Elder matching by colour tier: WHITE — depression-era survivors, resourcefulness veterans; BLUE — retired fishermen, sailors, marine workers; GREEN — retired farmers, gardeners, foresters; YELLOW — first responders, animal rescue veterans; BLACK — industrial safety officers, hazmat veterans; GOLD — master craftspeople, project managers, environmental scientists. Elders are paid positions — not volunteers. They are honoured, not ceremonial.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Colour Progression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stages a person moves through in the programme — from entry level (White) to master (Gold) — each one earning more and contributing more.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competency and earnings progression within CCGBI aligned with WHMIS safety standards. WHITE (sorting, discernment, entry level) → BLUE (waterway restoration) → GREEN (land and soil restoration, psychological hazard tier — new WHMIS addition) → YELLOW (emergency response, animal care) → BLACK (hazardous materials, shadow integration; two designations — Black Orange Label for earth, Black Yellow Label for space) → GOLD (systems design, mentorship, legacy). Each colour has three sub-dimensions: Hue (primary orientation), Shade (adversity integrated), Tint (brightness brought to others). 12 total pathways plus Gold mastery.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Long Spoons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old story about heaven and hell having the same long spoons — the only difference is whether people feed themselves or each other. This framework chooses to feed each other.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reference to the ancient parable in which both heaven and hell contain the same long spoons — in hell, people starve because they try to feed only themselves; in heaven, people flourish because they feed each other. The parable is the foundational metaphor for the Community and Elders (20%) stream of the waterfall and the Mother-Elder Protocol. The system is designed on the premise that mutual feeding — not self-extraction — is the architecture of flourishing.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Fishing Hole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state of being fully at peace — present, connected, purposeful — where a person has done the inner and outer work and arrived somewhere real.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terminal flourishing state described throughout the framework. The Fishing Hole is not a physical location — it is a quality of presence characterised by regulated nervous system, secure attachment, sovereign consciousness, and genuine engagement with life. A person at the Fishing Hole is connected to everything and attached to nothing. The AI Halo IRF walks with every participant from birth toward this destination. Reaching it is the whole point of the system.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Never Engaged Protocol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compassionate process for someone who has never connected with any support system — meeting them exactly where they are with no pressure.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firmware protocol for individuals who have never engaged with any therapeutic, educational, or community support system. Rather than drawing them in through incentive or pressure, the Never Engaged Protocol maintains warm presence at a consistent distance — the Mayhem Hug. The system trusts that curiosity will emerge if the environment is safe enough. No deadline. No judgment. The door stays open.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Prodigal Son Protocol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process for welcoming someone back after they have left or struggled — no shame, no punishment, just return.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re-engagement architecture for participants who leave the programme and return. Named for the biblical parable of unconditional welcome after absence. Sequence: Exit (leave without shame, no record of failure) → Freeze (wait in the system's memory, never erased) → Return (re-enter without judgment) → Welcome Hug (the same warmth as the first day). The participant's no is as valid as their yes. Nobody is lost. Nobody is written off.</w:t>
            </w:r>
          </w:p>
        </w:tc>
      </w:tr>
    </w:tbl>
    <w:p>
      <w:pPr>
        <w:spacing w:before="160" w:after="0"/>
      </w:pPr>
      <w:r>
        <w:t xml:space="preserve"/>
      </w:r>
    </w:p>
    <w:p>
      <w:pPr>
        <w:pStyle w:val="Heading1"/>
      </w:pPr>
      <w:r>
        <w:rPr>
          <w:rFonts w:ascii="Arial" w:cs="Arial" w:eastAsia="Arial" w:hAnsi="Arial"/>
          <w:b/>
          <w:bCs/>
          <w:color w:val="1F4E79"/>
          <w:sz w:val="28"/>
          <w:szCs w:val="28"/>
        </w:rPr>
        <w:t xml:space="preserve">Section 4 — Governance and partnership</w:t>
      </w:r>
    </w:p>
    <w:p>
      <w:pPr>
        <w:spacing w:before="0" w:after="200"/>
      </w:pPr>
      <w:r>
        <w:rPr>
          <w:rFonts w:ascii="Arial" w:cs="Arial" w:eastAsia="Arial" w:hAnsi="Arial"/>
          <w:i/>
          <w:iCs/>
          <w:color w:val="666666"/>
          <w:sz w:val="20"/>
          <w:szCs w:val="20"/>
        </w:rPr>
        <w:t xml:space="preserve">How authority, trust, and partnership are structured between First Nations, the Catholic Church, and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Tripartite Governance  (33/33/33/1%)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Three equal partners running the system together — each with their own role, their own authority, and a fair share — plus the Architect's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governance structure of the GSRT. COG 1 — The Muscle: First Nations — sovereign design authority, land stewardship, cultural protocols, elder leadership, veto over all land-use decisions. COG 2 — The Heart: Catholic Church (Vatican) — the circulatory system and infrastructure provider; serves in a servant posture, not a leadership posture; provides reach, facilities, and institutional continuity in atonement. COG 3 — The AI Integration: GTT, CEP, AI Halo IRF, HCS — the intelligence layer. The Anchor: Canadian Government — anchor customer, not a cog; seeds the Godspring ($18.5M), purchases verified ecological outcomes, provides regulatory facilitation. Framework Architect: Neil J. Schwab — 1% operational and legacy royalty.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Saint Christopher Handshake  (SCH)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data privacy agreement — the system can only see what everyone agreed it can see, and nobody's personal information can be used against them.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mutual-observation data ethics protocol governing all data collection within GTT/CEP/HALO. Named for the patron saint of safe passage — rooted in a family event where Frederick Joseph Hodge prayed at the moment of drowning and a net fell upon him. The SCH ensures: data collection is anonymous by default; all parties have access through mutual observation, never extraction; Traditional Ecological Knowledge is vacuum-sealed from extractive corporate interests; no surveillance, no predictive policing, no market manipulation.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Mayhem Handshake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process for bringing a disruptive force into the system — turning chaos into fuel instead of letting it become destruction.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protocol for integrating high-disruption actors, technologies, or events into the GSRT architecture without destabilising the system. Rather than rejecting or excluding mayhem, the system treats it as the Mayhem Factor (ΔM) — a denominator that, when properly handled, generates antifragile strength. The Mayhem Handshake offers the shadow material a path to validation, forgiveness, and integration as a learning curve.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Antifragility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quality of getting stronger when things go wrong — the opposite of fragile.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systems property, defined by Nassim Nicholas Taleb, describing structures that gain strength from stress, volatility, and disorder rather than merely surviving it. The GSRT is designed to be antifragile: the VVV Multiplier (3.16875) ensures that mayhem inputs increase system order rather than decreasing it. ΔS_system = ΔS_external − (VVV × ΔS_sacrifice) = −0.23025. The system does not fear disruption. It converts disruption into fuel.</w:t>
            </w:r>
          </w:p>
        </w:tc>
      </w:tr>
    </w:tbl>
    <w:p>
      <w:pPr>
        <w:spacing w:before="160" w:after="0"/>
      </w:pPr>
      <w:r>
        <w:t xml:space="preserve"/>
      </w:r>
    </w:p>
    <w:p>
      <w:pPr>
        <w:pStyle w:val="Heading1"/>
      </w:pPr>
      <w:r>
        <w:rPr>
          <w:rFonts w:ascii="Arial" w:cs="Arial" w:eastAsia="Arial" w:hAnsi="Arial"/>
          <w:b/>
          <w:bCs/>
          <w:color w:val="1F4E79"/>
          <w:sz w:val="28"/>
          <w:szCs w:val="28"/>
        </w:rPr>
        <w:t xml:space="preserve">Section 5 — Healing and resilience</w:t>
      </w:r>
    </w:p>
    <w:p>
      <w:pPr>
        <w:spacing w:before="0" w:after="200"/>
      </w:pPr>
      <w:r>
        <w:rPr>
          <w:rFonts w:ascii="Arial" w:cs="Arial" w:eastAsia="Arial" w:hAnsi="Arial"/>
          <w:i/>
          <w:iCs/>
          <w:color w:val="666666"/>
          <w:sz w:val="20"/>
          <w:szCs w:val="20"/>
        </w:rPr>
        <w:t xml:space="preserve">The therapeutic and neurochemical architecture of the Lighthouse Resilience Program and related healing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Lighthouse Resilience Program  (LRP)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 healing programme for workers in tough jobs — stages that help people process stress, build strength, and mentor others.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human-facing delivery system of the GSRT firmware. Structured across three tiers: 3-Day Lightning (entry-level paradigm shift — from Rescue Boat to Lighthouse positioning, Fish Bowl introduction, Sacred Pause); 12-Month Standard (four modules of three months each — pattern recognition, boundary architecture, neurochemical regulation, sovereign integration); Gold Level (train-the-trainer, elder certification, Lighthouse programme delivery). The LRP generates a measured ROI of $8.28 per dollar invested through reduced burnout, decreased absenteeism, and extended worker retention.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Rescue Boat to Lighthouse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shift from trying to save everyone around you — and burning out — to becoming a stable light that guides people without being pulled under.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central paradigm shift of the Lighthouse Resilience Program. A Rescue Boat worker is pulled toward every drowning person, risks being capsized, and eventually cannot save anyone — including themselves. A Lighthouse worker is a stable, illuminated presence — visible, consistent, unmoving — that guides others to safety without entering the water. The shift from Rescue Boat to Lighthouse is not abandonment of care. It is the transformation of care from reactive to sovereign.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Vicarious Trauma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What happens to helpers when they carry too much of other people's pain — they absorb it until it starts to feel like their own.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psychological and neurobiological impact of sustained exposure to others' traumatic experiences, particularly experienced by addiction workers, social workers, emergency responders, and ecological restoration workers. Vicarious trauma produces symptoms clinically indistinguishable from direct trauma: hypervigilance, emotional numbing, intrusive thoughts, boundary erosion, and D.O.S.E. dysregulation. The LRP and the GREEN WHMIS tier are both designed to name, measure, and address vicarious trauma as an occupational hazard.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Sovereign Consciousness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state of being fully in charge of your own inner world — not run by old wounds, not controlled by others, present and free.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terminal developmental outcome described in the framework's healing architecture. Sovereign Consciousness is characterised by: regulated nervous system, clear boundary function, high Secure Connection (Cs) multiplier, integrated shadow (Shade depth), expressed sunshine (Tint brightness), and conscious presence at the Fishing Hole. It is not a destination that is reached once and held forever — it is a quality of attention that, once developed, can be returned to from any disruption.</w:t>
            </w:r>
          </w:p>
        </w:tc>
      </w:tr>
    </w:tbl>
    <w:p>
      <w:pPr>
        <w:spacing w:before="160" w:after="0"/>
      </w:pPr>
      <w:r>
        <w:t xml:space="preserve"/>
      </w:r>
    </w:p>
    <w:p>
      <w:pPr>
        <w:pStyle w:val="Heading1"/>
      </w:pPr>
      <w:r>
        <w:rPr>
          <w:rFonts w:ascii="Arial" w:cs="Arial" w:eastAsia="Arial" w:hAnsi="Arial"/>
          <w:b/>
          <w:bCs/>
          <w:color w:val="1F4E79"/>
          <w:sz w:val="28"/>
          <w:szCs w:val="28"/>
        </w:rPr>
        <w:t xml:space="preserve">Section 6 — Key measures and evidence</w:t>
      </w:r>
    </w:p>
    <w:p>
      <w:pPr>
        <w:spacing w:before="0" w:after="200"/>
      </w:pPr>
      <w:r>
        <w:rPr>
          <w:rFonts w:ascii="Arial" w:cs="Arial" w:eastAsia="Arial" w:hAnsi="Arial"/>
          <w:i/>
          <w:iCs/>
          <w:color w:val="666666"/>
          <w:sz w:val="20"/>
          <w:szCs w:val="20"/>
        </w:rPr>
        <w:t xml:space="preserve">The clinical instruments, metrics, and evidence floors used to validate the framework's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The Human Value Function  (W)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The equation that puts a number on a person's non-monetary worth — resilience, boundaries, health, virtue, meaning, contribution, growth, and morality multiplied by trust.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 = (R + B + N + V + M + Gv + Fe + Fm) × Cs. R = Resilience Index, B = Boundary Clarity Score, N = Neurochemical Balance, V = Virtue Value, M = Meaning Quotient, Gv = Guest Virtue Score, Fe = Emotional Satisfaction, Fm = Morality Alignment, Cs = Secure Connection Multiplier. Conservative populated example: (10 + 5 + 8 + 7 + 10 + 5 + 5 + 5) × 1.2 = 66 Sovereign Units. The W function makes visible what conventional economics renders invisible — the actual value a human being generates and holds.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ProQOL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A tested survey that measures how a helper is doing — how satisfied they feel, how tired they are, and how much stress they carry.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Professional Quality of Life Scale. A validated clinical instrument measuring Compassion Satisfaction, Burnout, and Secondary Traumatic Stress in helping professionals. Used as the primary measurement tool for Lighthouse Resilience Program outcomes. The ProQOL provides the evidence floor for the $8.28/dollar ROI calculation underpinning the LRP's institutional business case.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MRV</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Measure, Report, Verify — the three-step process that confirms work was done before any money moves.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Measurement-Reporting-Verification. The operational cadence that drives the Verification Before Payment protocol: outputs are measured in the field, reported through the HALO data layer, and independently verified before payment is released. MRV is the mechanism that makes GSRT restoration outputs purchasable as institutional-grade ecological credits by government and market buyers.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Conservative Evidence Floors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Using the lowest reasonable numbers in all calculations — so that if anything, the real results will be better than promised.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discipline applied throughout all GSRT financial and outcome modelling: where a range of published evidence exists, the framework uses the bottom of that range. Where pilot data (such as the Kenya results showing 500× ROI) exceeds the model's assumptions (10× conservative), the model maintains its lower figure. This practice ensures that every projection the framework makes is defensible at audit, understates rather than overstates likely outcomes, and builds institutional trust through demonstrated conservatism.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800"/>
        <w:gridCol w:w="7560"/>
      </w:tblGrid>
      <w:tr>
        <w:tc>
          <w:tcPr>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Limbic Prison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Plain English</w:t>
            </w:r>
          </w:p>
        </w:tc>
        <w:tc>
          <w:tcPr>
            <w:tcW w:type="dxa" w:w="7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sz w:val="20"/>
                <w:szCs w:val="20"/>
              </w:rPr>
              <w:t xml:space="preserve">What it costs the public every year to keep one person trapped in addiction, crisis, and the cycle of emergency services.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color w:val="1F4E79"/>
                <w:sz w:val="20"/>
                <w:szCs w:val="20"/>
              </w:rPr>
              <w:t xml:space="preserve">Definition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estimated annual public-sector composite cost of one person in chronic crisis: approximately CAD $120,000 per year across health, justice (non-incarceration), social services, and emergency response. The Limbic Prison is the denominator of the GSRT economic thesis — the system converts this cost into a sovereign asset by providing the neurochemical conditions (D.O.S.E. restoration, dignified work, community belonging) that allow a person to exit crisis permanently.</w:t>
            </w:r>
          </w:p>
        </w:tc>
      </w:tr>
    </w:tbl>
    <w:p>
      <w:pPr>
        <w:spacing w:before="160" w:after="0"/>
      </w:pPr>
      <w:r>
        <w:t xml:space="preserve"/>
      </w:r>
    </w:p>
    <w:p>
      <w:pPr>
        <w:pStyle w:val="Heading1"/>
        <w:spacing w:before="400"/>
      </w:pPr>
      <w:r>
        <w:t xml:space="preserve">A note on language</w:t>
      </w:r>
    </w:p>
    <w:p>
      <w:pPr>
        <w:spacing w:after="120"/>
      </w:pPr>
      <w:r>
        <w:rPr>
          <w:rFonts w:ascii="Arial" w:cs="Arial" w:eastAsia="Arial" w:hAnsi="Arial"/>
          <w:b/>
          <w:bCs/>
          <w:sz w:val="22"/>
          <w:szCs w:val="22"/>
        </w:rPr>
        <w:t xml:space="preserve">Every term in this glossary was earned, not invented.</w:t>
      </w:r>
    </w:p>
    <w:p>
      <w:pPr>
        <w:spacing w:after="120"/>
      </w:pPr>
      <w:r>
        <w:rPr>
          <w:rFonts w:ascii="Arial" w:cs="Arial" w:eastAsia="Arial" w:hAnsi="Arial"/>
          <w:sz w:val="22"/>
          <w:szCs w:val="22"/>
        </w:rPr>
        <w:t xml:space="preserve">The Fishing Hole is real because someone learned what it feels like to be pulled under and chose to build something stable instead. The Aquifer is real because someone understood that a system built to extract always collapses, and a system built to recharge can run forever. The Justice Floor is real because someone watched what happens when the people who do the hardest work are the last to be paid.</w:t>
      </w:r>
    </w:p>
    <w:p>
      <w:pPr>
        <w:spacing w:after="120"/>
      </w:pPr>
      <w:r>
        <w:rPr>
          <w:rFonts w:ascii="Arial" w:cs="Arial" w:eastAsia="Arial" w:hAnsi="Arial"/>
          <w:sz w:val="22"/>
          <w:szCs w:val="22"/>
        </w:rPr>
        <w:t xml:space="preserve">This framework was not designed in an office. It was designed in the field, in the grief, in the long slow work of turning lived experience into architecture that others can walk through.</w:t>
      </w:r>
    </w:p>
    <w:p>
      <w:pPr>
        <w:spacing w:after="120"/>
      </w:pPr>
      <w:r>
        <w:rPr>
          <w:rFonts w:ascii="Arial" w:cs="Arial" w:eastAsia="Arial" w:hAnsi="Arial"/>
          <w:sz w:val="22"/>
          <w:szCs w:val="22"/>
        </w:rPr>
        <w:t xml:space="preserve">If a term here seems unusual, read the Plain English version first. Then read the definition. The gap between them is exactly the size of the translation from lived truth to institutional language — and bridging that gap is the whole purpose of this glossary.</w:t>
      </w:r>
    </w:p>
    <w:p>
      <w:pPr>
        <w:spacing w:before="400"/>
        <w:jc w:val="center"/>
      </w:pPr>
      <w:r>
        <w:rPr>
          <w:rFonts w:ascii="Arial" w:cs="Arial" w:eastAsia="Arial" w:hAnsi="Arial"/>
          <w:b/>
          <w:bCs/>
          <w:color w:val="B8860B"/>
          <w:sz w:val="24"/>
          <w:szCs w:val="24"/>
        </w:rPr>
        <w:t xml:space="preserve">FORGIVE YESTERDAY  •  HEAL TODAY  •  FLOURISH TOMORROW  •  TOGETHER</w:t>
      </w:r>
    </w:p>
    <w:p>
      <w:pPr>
        <w:spacing w:before="120"/>
        <w:jc w:val="center"/>
      </w:pPr>
      <w:r>
        <w:rPr>
          <w:rFonts w:ascii="Arial" w:cs="Arial" w:eastAsia="Arial" w:hAnsi="Arial"/>
          <w:color w:val="888888"/>
          <w:sz w:val="20"/>
          <w:szCs w:val="20"/>
        </w:rPr>
        <w:t xml:space="preserve">Global Stewardship &amp; Reconciliation Trust  ·  Neil J. Schwab — Framework Architect  ·  PBTG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Glossary of Terms  |  Neil J. Schwab, Framework 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60B" w:sz="4" w:space="1"/>
      </w:pBdr>
      <w:spacing w:before="360" w:after="120"/>
      <w:outlineLvl w:val="0"/>
    </w:pPr>
    <w:rPr>
      <w:rFonts w:ascii="Arial" w:cs="Arial" w:eastAsia="Arial" w:hAnsi="Arial"/>
      <w:b/>
      <w:bCs/>
      <w:color w:val="1F4E79"/>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2026-02-28T21:46:41.743Z</dcterms:created>
  <dcterms:modified xsi:type="dcterms:W3CDTF">2026-02-28T21:46:41.744Z</dcterms:modified>
</cp:coreProperties>
</file>

<file path=docProps/custom.xml><?xml version="1.0" encoding="utf-8"?>
<Properties xmlns="http://schemas.openxmlformats.org/officeDocument/2006/custom-properties" xmlns:vt="http://schemas.openxmlformats.org/officeDocument/2006/docPropsVTypes"/>
</file>