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drawing>
          <wp:inline distT="0" distB="0" distL="0" distR="0">
            <wp:extent cx="69951600" cy="10421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0" cy="1042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5C52"/>
          <w:sz w:val="44"/>
          <w:szCs w:val="44"/>
        </w:rPr>
        <w:t xml:space="preserve">GOVERNMENT OF CANADA</w:t>
      </w:r>
    </w:p>
    <w:p>
      <w:pPr>
        <w:pBdr>
          <w:bottom w:val="single" w:color="8B6914" w:sz="10" w:space="4"/>
        </w:pBdr>
        <w:spacing w:before="20" w:after="20"/>
      </w:pPr>
    </w:p>
    <w:p>
      <w:pPr>
        <w:spacing w:before="0" w:after="3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30"/>
          <w:szCs w:val="30"/>
        </w:rPr>
        <w:t xml:space="preserve">PARTNER SYNOPSIS</w:t>
      </w:r>
    </w:p>
    <w:p>
      <w:pPr>
        <w:spacing w:before="0" w:after="20" w:line="3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5D4037"/>
          <w:sz w:val="24"/>
          <w:szCs w:val="24"/>
        </w:rPr>
        <w:t xml:space="preserve">Global Stewardship Reconciliation Trust</w:t>
      </w:r>
    </w:p>
    <w:p>
      <w:pPr>
        <w:pBdr>
          <w:bottom w:val="single" w:color="8B6914" w:sz="10" w:space="4"/>
        </w:pBdr>
        <w:spacing w:before="20" w:after="60"/>
      </w:pPr>
    </w:p>
    <w:p>
      <w:pPr>
        <w:spacing w:before="0" w:after="20" w:line="3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5C52"/>
          <w:sz w:val="22"/>
          <w:szCs w:val="22"/>
        </w:rPr>
        <w:t xml:space="preserve">THE ANCHOR CUSTOMER  ·  THE CATALYST  ·  THE RIVERBANK</w:t>
      </w:r>
    </w:p>
    <w:p>
      <w:pPr>
        <w:spacing w:before="0" w:after="0" w:line="3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20"/>
          <w:szCs w:val="20"/>
        </w:rPr>
        <w:t xml:space="preserve">Forgive Yesterday · Heal Today · Flourish Tomorrow · Together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8B6914" w:sz="8" w:space="6"/>
        </w:pBdr>
        <w:spacing w:before="480"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34"/>
          <w:szCs w:val="34"/>
        </w:rPr>
        <w:t xml:space="preserve">THE PROPOSITION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Canada faces a convergence of three compounding liabilities: accelerating ecological degradation, AI-driven employment displacement, and the neurochemical poverty that follows when a population loses purpose, income, and connection simultaneously.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of these costs the treasury money. Together, they represent the single largest structural drag on Canada’s long-term fiscal position.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framework does not ask the Government of Canada to manage any of these problems. It asks the Government of Canada to do what it does best: 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DDDDD" w:sz="2"/>
              <w:left w:val="thick" w:color="1A5C52" w:sz="12"/>
              <w:bottom w:val="single" w:color="DDDDDD" w:sz="2"/>
              <w:right w:val="single" w:color="DDDDDD" w:sz="2"/>
            </w:tcBorders>
            <w:shd w:fill="E4F0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34"/>
                <w:szCs w:val="34"/>
              </w:rPr>
              <w:t xml:space="preserve">Buy the finished product.</w:t>
            </w:r>
          </w:p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Clean water. Restored land. Sorted materials. Verified environmental outcomes.</w:t>
            </w:r>
          </w:p>
          <w:p>
            <w:pPr>
              <w:spacing w:before="0" w:after="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D4037"/>
                <w:sz w:val="22"/>
                <w:szCs w:val="22"/>
              </w:rPr>
              <w:t xml:space="preserve">Carbon offsets. Disaster prevention. Sovereign citizens.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restoration work is delivered by First Nations-led teams using a colour-coded competency progression. The infrastructure is provided by the Catholic Church’s existing network. The Government’s role is to be the anchor customer for verified outputs — and to seed the watershed that will repay the investment within five years and run indefinitely thereafter without further public funding.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8B6914" w:sz="8" w:space="6"/>
        </w:pBdr>
        <w:spacing w:before="480"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34"/>
          <w:szCs w:val="34"/>
        </w:rPr>
        <w:t xml:space="preserve">THE FINANCIAL ARCHITECTURE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7"/>
          <w:szCs w:val="27"/>
        </w:rPr>
        <w:t xml:space="preserve">The Current Cost of Inaction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LIABILITY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COST PER PERSON IN THE SYSTEM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Person in Limbic Prison
(addiction, unemployment, chronic stress)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$120,000/year
(Healthcare + Policing + Social Triage)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Welfare dependency cycle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$65,000 in avoided productivity annually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Environmental inaction
(flood, contamination, degraded land)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5× the cost of preventative restoration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7"/>
          <w:szCs w:val="27"/>
        </w:rPr>
        <w:t xml:space="preserve">The GSRT Conversion Model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framework converts systemic liabilities into sovereign assets through a single integrated mechanism: paid environmental restoration structured as competency-based progression.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Annual Systemic Value per Participant Node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$389,782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Phase 1 ROI (Manitoba Pilot, 3 years)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512%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Seed Investment Required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$18.5M (Godspring)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Full Seed Repayment Timeline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 years (conservative)
3 years (Kenya pilot data)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Post-repayment government funding required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Zero.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7"/>
          <w:szCs w:val="27"/>
        </w:rPr>
        <w:t xml:space="preserve">The 20/40/20/10/10 Waterfall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dollar generated by the restoration economy flows through a legally binding distribution architecture. The Government does not administer this distribution — it is hardcoded into the system.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· 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Participant Income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40%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Direct to workers. Non-negotiable floor. Always first.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Community &amp; Elders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20%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Stays local. Elder Teachers, infrastructure reinvestment.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Operations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20%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Verification centres, administration.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Innovation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10%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R&amp;D, pipeline development, scaling.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Scaling Reserve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10%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Expansion, emergency buffer.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DDDDD" w:sz="2"/>
              <w:left w:val="thick" w:color="1A5C52" w:sz="12"/>
              <w:bottom w:val="single" w:color="DDDDDD" w:sz="2"/>
              <w:right w:val="single" w:color="DDDDDD" w:sz="2"/>
            </w:tcBorders>
            <w:shd w:fill="E4F0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80% of all value remains local.</w:t>
            </w:r>
          </w:p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 funds are released until the AI-HALO and Program Review Function verify that restoration occurred and human value increased. This is Verification-Before-Payment (VPC) — the Government’s financial protection against performance fraud, built into the architecture.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8B6914" w:sz="8" w:space="6"/>
        </w:pBdr>
        <w:spacing w:before="480"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34"/>
          <w:szCs w:val="34"/>
        </w:rPr>
        <w:t xml:space="preserve">WHAT CANADA RECEIVES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Environmental Assets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Restored waterways, remediated soil, sorted waste streams — verified to national standards. Physical outputs Government can account for in budget and report to Parliament.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Carbon Credits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Verified ecological restoration generates tradeable carbon offsets, creating a secondary revenue stream on top of the primary environmental benefit.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Liability Reduction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Every participant who moves from welfare/addiction/unemployment into productive certified stewardship removes one liability from the public ledger and adds one asset.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Reconciliation Progress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Measurable, verified, community-driven reconciliation outcomes tied to TRC Calls to Action 48 and 49. Not symbolic. Structural.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Global Leadership Position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Canada becomes the first country to implement a verified restoration-economy model at national scale. The export value of this precedent is incalculable.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Self-Sustaining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After Year 5, the Government’s seed investment is fully repaid and the system operates on its own revenue indefinitely. No ongoing public funding required.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8B6914" w:sz="8" w:space="6"/>
        </w:pBdr>
        <w:spacing w:before="480"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34"/>
          <w:szCs w:val="34"/>
        </w:rPr>
        <w:t xml:space="preserve">WHAT CANADA IS ASKED TO DO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Government of Canada does not manage this program. It does not administer communities, direct First Nations leadership, or run the Church’s infrastructure. Those roles belong to their owners.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2"/>
          <w:szCs w:val="22"/>
        </w:rPr>
        <w:t xml:space="preserve">Canada is asked to do three things: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Seed the Godspring with the $18.5M initial investment that carves the watershed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Purchase verified environmental and social outcomes at agreed rates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Provide regulatory facilitation that allows the system to operate across jurisdictions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That’s it. The Government is the riverbank that gives the watershed its shape. Not the water. Not the rain. The shape of the land that makes everything flow in the right direction.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8B6914" w:sz="8" w:space="6"/>
        </w:pBdr>
        <w:spacing w:before="480"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34"/>
          <w:szCs w:val="34"/>
        </w:rPr>
        <w:t xml:space="preserve">THE GOVERNMENT’S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DDDDD" w:sz="2"/>
              <w:left w:val="thick" w:color="1A5C52" w:sz="12"/>
              <w:bottom w:val="single" w:color="DDDDDD" w:sz="2"/>
              <w:right w:val="single" w:color="DDDDDD" w:sz="2"/>
            </w:tcBorders>
            <w:shd w:fill="E4F0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Verification Before Payment.</w:t>
            </w:r>
          </w:p>
          <w:p>
            <w:pPr>
              <w:spacing w:before="30" w:after="3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 funds are released at any stage until the AI-HALO confirms:</w:t>
            </w:r>
          </w:p>
          <w:p>
            <w:pPr>
              <w:spacing w:before="30" w:after="3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 w:line="3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Environmental restoration occurred and is measurable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 w:line="3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Human value — participant development — increased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 w:line="3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Community benefit was received and documented</w:t>
            </w:r>
          </w:p>
          <w:p>
            <w:pPr>
              <w:spacing w:before="30" w:after="3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This is not trust. This is architecture. The Government’s investment is protected by the same mechanism that makes the system antifragile: it only pays for what it receives.</w:t>
            </w:r>
          </w:p>
          <w:p>
            <w:pPr>
              <w:spacing w:before="30" w:after="3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1"/>
                <w:szCs w:val="21"/>
              </w:rPr>
              <w:t xml:space="preserve">The VVV Multiplier: 3.16875</w:t>
            </w:r>
          </w:p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Values-Virtues-Veterans gate produces a verified multiplier of 3.16875 on every dollar of human value generated. The system’s entropy delta (ΔS = -0.23025) confirms it becomes more ordered — not less — when it encounters mayhem. That is the definition of antifragile. Stress makes it stronger.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DDDDD" w:sz="2"/>
              <w:left w:val="thick" w:color="1A5C52" w:sz="12"/>
              <w:bottom w:val="single" w:color="DDDDDD" w:sz="2"/>
              <w:right w:val="single" w:color="DDDDDD" w:sz="2"/>
            </w:tcBorders>
            <w:shd w:fill="E4F0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2"/>
                <w:szCs w:val="22"/>
              </w:rPr>
              <w:t xml:space="preserve">Four protections built into the architecture:</w:t>
            </w:r>
          </w:p>
          <w:p>
            <w:pPr>
              <w:spacing w:before="30" w:after="3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 w:line="3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Verification Before Payment — money moves only after outputs are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 w:line="3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Marie Hodge Intercept — Risk Mitigation: early-warning architecture protecting your investment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 w:line="3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Lest We Forget Gate — auto-pause on warning patterns before damage occurs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 w:line="30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Stop/Adjust Rule — 90-day review with no funds lost, no community abandoned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8B6914" w:sz="8" w:space="6"/>
        </w:pBdr>
        <w:spacing w:before="480"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34"/>
          <w:szCs w:val="34"/>
        </w:rPr>
        <w:t xml:space="preserve">THE ACCOUNTABILITY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DDDDD" w:sz="2"/>
              <w:left w:val="thick" w:color="1A5C52" w:sz="12"/>
              <w:bottom w:val="single" w:color="DDDDDD" w:sz="2"/>
              <w:right w:val="single" w:color="DDDDDD" w:sz="2"/>
            </w:tcBorders>
            <w:shd w:fill="E4F0E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1"/>
                <w:szCs w:val="21"/>
              </w:rPr>
              <w:t xml:space="preserve">The Marie Hodge Intercept — Risk Mitigation</w:t>
            </w:r>
          </w:p>
          <w:p>
            <w:pPr>
              <w:spacing w:before="30" w:after="3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Named for the principle of protective care, the Marie Hodge Intercept monitors the system for historical patterns of extraction, capture, and misalignment — and intercepts them before they damage the system’s integrity. For the Government, this is Risk Mitigation: your investment is protected by architecture, not trust.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7"/>
          <w:szCs w:val="27"/>
        </w:rPr>
        <w:t xml:space="preserve">The Lest We Forget Gate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Lest We Forget Gate automatically pauses all fund flow if the system detects any of the following: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WARNING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 RESPONSE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Concentration of control by any single partner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Fund flow paused pending Architecture Review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Restoration metrics manipulated for unearned payment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VPC protocol triggered. Independent verification required.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Community voices bypassed in favour of institutional convenience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First Nations veto invoked. Decision reversed.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Historical patterns of extraction replicated under new branding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Full system audit. Public reporting required.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7"/>
          <w:szCs w:val="27"/>
        </w:rPr>
        <w:t xml:space="preserve">The Stop/Adjust Rule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pilot operates under a 90-day review protocol. If metrics are not met, the program does not fail — it adjusts. The Architecture Review Function identifies the intervention point, modifies delivery, and resets the measurement window. No funds are lost. No community is abandoned.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 GATE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90-Day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Outcome check. Metrics met → proceed. Missed → adjust. No funds lost.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180-Day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Cohort outcomes assessed. ROI projection updated. Government briefed.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Year 1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Full impact audit. Repayment schedule confirmed. Scaling decision made.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Year 5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80" w:after="100" w:line="3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Seed investment fully repaid. System self-sustaining. Government’s role complete.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7"/>
          <w:szCs w:val="27"/>
        </w:rPr>
        <w:t xml:space="preserve">Why All Three Are Essential</w:t>
      </w:r>
    </w:p>
    <w:p>
      <w:pPr>
        <w:spacing w:before="80" w:after="10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Remove any one cog and the system still has parts — but it stops generating value. The power is in the turning together.</w:t>
      </w:r>
    </w:p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2"/>
              <w:bottom w:val="single" w:color="DDDDDD" w:sz="1"/>
              <w:right w:val="single" w:color="DDDDDD" w:sz="1"/>
            </w:tcBorders>
            <w:shd w:fill="F6F6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5D4037"/>
                <w:sz w:val="20"/>
                <w:szCs w:val="20"/>
              </w:rPr>
              <w:t xml:space="preserve">FIRST NATIONS</w:t>
            </w:r>
          </w:p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D4037"/>
                <w:sz w:val="19"/>
                <w:szCs w:val="19"/>
              </w:rPr>
              <w:t xml:space="preserve">The Muscle</w:t>
            </w:r>
          </w:p>
          <w:p>
            <w:pPr>
              <w:spacing w:before="0" w:after="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Land knowledge. Sovereignty. TEK. The physical restoration no machine can replicate. Without muscle, there is nothing to move.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2"/>
              <w:bottom w:val="single" w:color="DDDDDD" w:sz="1"/>
              <w:right w:val="single" w:color="DDDDDD" w:sz="1"/>
            </w:tcBorders>
            <w:shd w:fill="F6F6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1A1A"/>
                <w:sz w:val="20"/>
                <w:szCs w:val="20"/>
              </w:rPr>
              <w:t xml:space="preserve">CATHOLIC CHURCH</w:t>
            </w:r>
          </w:p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1A1A"/>
                <w:sz w:val="19"/>
                <w:szCs w:val="19"/>
              </w:rPr>
              <w:t xml:space="preserve">The Circulatory System</w:t>
            </w:r>
          </w:p>
          <w:p>
            <w:pPr>
              <w:spacing w:before="0" w:after="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2,000 years of infrastructure. Schools, hospitals, communities. Moving resources to where they are needed. Without flow, muscle dies.</w:t>
            </w:r>
          </w:p>
        </w:tc>
        <w:tc>
          <w:tcPr>
            <w:tcW w:type="dxa" w:w="3120"/>
            <w:tcBorders>
              <w:top w:val="single" w:color="DDDDDD" w:sz="1"/>
              <w:left w:val="thick" w:color="1A5C52" w:sz="10"/>
              <w:bottom w:val="single" w:color="DDDDDD" w:sz="1"/>
              <w:right w:val="single" w:color="DDDDDD" w:sz="1"/>
            </w:tcBorders>
            <w:shd w:fill="E4F0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0"/>
                <w:szCs w:val="20"/>
              </w:rPr>
              <w:t xml:space="preserve">GOVERNMENT</w:t>
            </w:r>
          </w:p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1A5C52"/>
                <w:sz w:val="19"/>
                <w:szCs w:val="19"/>
              </w:rPr>
              <w:t xml:space="preserve">The Anchor Customer</w:t>
            </w:r>
          </w:p>
          <w:p>
            <w:pPr>
              <w:spacing w:before="0" w:after="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Verified outcomes purchased at scale. Clean water. Restored land. Without demand, the system has nowhere to send its output.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DDDDD" w:sz="2"/>
              <w:left w:val="thick" w:color="8B6914" w:sz="12"/>
              <w:bottom w:val="single" w:color="DDDDDD" w:sz="2"/>
              <w:right w:val="single" w:color="DDDDDD" w:sz="2"/>
            </w:tcBorders>
            <w:shd w:fill="FEF8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3A5C"/>
                <w:sz w:val="22"/>
                <w:szCs w:val="22"/>
              </w:rPr>
              <w:t xml:space="preserve">You cannot have a circulatory system without muscle — there is nothing to move.</w:t>
            </w:r>
          </w:p>
          <w:p>
            <w:pPr>
              <w:spacing w:before="0" w:after="2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3A5C"/>
                <w:sz w:val="22"/>
                <w:szCs w:val="22"/>
              </w:rPr>
              <w:t xml:space="preserve">You cannot have muscle without a circulatory system — it dies without flow.</w:t>
            </w:r>
          </w:p>
          <w:p>
            <w:pPr>
              <w:spacing w:before="0" w:after="4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3A5C"/>
                <w:sz w:val="22"/>
                <w:szCs w:val="22"/>
              </w:rPr>
              <w:t xml:space="preserve">Neither sustains without a customer who values the output.</w:t>
            </w:r>
          </w:p>
          <w:p>
            <w:pPr>
              <w:pBdr>
                <w:bottom w:val="single" w:color="DDDDDD" w:sz="2" w:space="4"/>
              </w:pBdr>
              <w:spacing w:before="60" w:after="60"/>
            </w:pPr>
          </w:p>
          <w:p>
            <w:pPr>
              <w:spacing w:before="40" w:after="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D4037"/>
                <w:sz w:val="21"/>
                <w:szCs w:val="21"/>
              </w:rPr>
              <w:t xml:space="preserve">The partnership is not a compromise. It is a biological necessity.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DDDDD" w:sz="2"/>
              <w:left w:val="thick" w:color="8B6914" w:sz="12"/>
              <w:bottom w:val="single" w:color="DDDDDD" w:sz="2"/>
              <w:right w:val="single" w:color="DDDDDD" w:sz="2"/>
            </w:tcBorders>
            <w:shd w:fill="FEF8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1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“This is a low-risk pilot with a verified stop/adjust rule</w:t>
            </w:r>
          </w:p>
          <w:p>
            <w:pPr>
              <w:spacing w:before="0" w:after="1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and a 5-year repayment guarantee.</w:t>
            </w:r>
          </w:p>
          <w:p>
            <w:pPr>
              <w:spacing w:before="0" w:after="40" w:line="34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5C52"/>
                <w:sz w:val="24"/>
                <w:szCs w:val="24"/>
              </w:rPr>
              <w:t xml:space="preserve">After Year 5, no further public funding is required. Ever.</w:t>
            </w:r>
          </w:p>
          <w:p>
            <w:pPr>
              <w:pBdr>
                <w:bottom w:val="single" w:color="DDDDDD" w:sz="2" w:space="4"/>
              </w:pBdr>
              <w:spacing w:before="60" w:after="60"/>
            </w:pPr>
          </w:p>
          <w:p>
            <w:pPr>
              <w:spacing w:before="20" w:after="1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D4037"/>
                <w:sz w:val="21"/>
                <w:szCs w:val="21"/>
              </w:rPr>
              <w:t xml:space="preserve">And if it works the way the data says it will —</w:t>
            </w:r>
          </w:p>
          <w:p>
            <w:pPr>
              <w:spacing w:before="0" w:after="1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D4037"/>
                <w:sz w:val="21"/>
                <w:szCs w:val="21"/>
              </w:rPr>
              <w:t xml:space="preserve">Canada will have traded systemic liabilities for sovereign assets,</w:t>
            </w:r>
          </w:p>
          <w:p>
            <w:pPr>
              <w:spacing w:before="0" w:after="0" w:line="3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5D4037"/>
                <w:sz w:val="21"/>
                <w:szCs w:val="21"/>
              </w:rPr>
              <w:t xml:space="preserve">and the world will want to know how you did it.</w:t>
            </w:r>
          </w:p>
        </w:tc>
      </w:tr>
    </w:tbl>
    <w:p>
      <w:pPr>
        <w:spacing w:before="30" w:after="3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8B6914" w:sz="4" w:space="4"/>
        </w:pBdr>
        <w:spacing w:before="60" w:after="60"/>
      </w:pPr>
    </w:p>
    <w:p>
      <w:pPr>
        <w:spacing w:before="0" w:after="20" w:line="3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3A5C"/>
          <w:sz w:val="21"/>
          <w:szCs w:val="21"/>
        </w:rPr>
        <w:t xml:space="preserve">Global Stewardship Reconciliation Trust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777777"/>
          <w:sz w:val="21"/>
          <w:szCs w:val="21"/>
        </w:rPr>
        <w:t xml:space="preserve">  ·  Framework Architect: Neil J. Schwab</w:t>
      </w:r>
    </w:p>
    <w:p>
      <w:pPr>
        <w:spacing w:before="0" w:after="0" w:line="3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777777"/>
          <w:sz w:val="20"/>
          <w:szCs w:val="20"/>
        </w:rPr>
        <w:t xml:space="preserve">neil.schwab@live.ca  ·  +1 (905) 868-6985  ·  Newmarket, Ontario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DDDDDD"/>
          <w:sz w:val="20"/>
          <w:szCs w:val="20"/>
        </w:rPr>
        <w:t xml:space="preserve">  ·  </w:t>
      </w:r>
      <w:r>
        <w:rPr>
          <w:rFonts w:ascii="Georgia" w:cs="Georgia" w:eastAsia="Georgia" w:hAnsi="Georgia"/>
          <w:b w:val="false"/>
          <w:bCs w:val="false"/>
          <w:i/>
          <w:iCs/>
          <w:color w:val="8B6914"/>
          <w:sz w:val="20"/>
          <w:szCs w:val="20"/>
        </w:rPr>
        <w:t xml:space="preserve">Government of Canada · Anchor Customer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94425f06eaa5c75170ee509adcd9af27da76b5f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2026-02-27T17:50:35.077Z</dcterms:created>
  <dcterms:modified xsi:type="dcterms:W3CDTF">2026-02-27T17:50:35.078Z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