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80"/>
        <w:jc w:val="center"/>
      </w:pPr>
      <w:r>
        <w:rPr>
          <w:rFonts w:ascii="Arial" w:cs="Arial" w:eastAsia="Arial" w:hAnsi="Arial"/>
          <w:b/>
          <w:bCs/>
          <w:color w:val="1F4E79"/>
          <w:sz w:val="80"/>
          <w:szCs w:val="80"/>
        </w:rPr>
        <w:t xml:space="preserve">GSRT</w:t>
      </w:r>
    </w:p>
    <w:p>
      <w:pPr>
        <w:spacing w:after="80"/>
        <w:jc w:val="center"/>
      </w:pPr>
      <w:r>
        <w:rPr>
          <w:rFonts w:ascii="Arial" w:cs="Arial" w:eastAsia="Arial" w:hAnsi="Arial"/>
          <w:b/>
          <w:bCs/>
          <w:color w:val="0f3460"/>
          <w:sz w:val="30"/>
          <w:szCs w:val="30"/>
        </w:rPr>
        <w:t xml:space="preserve">Global Stewardship &amp; Reconciliation Trust</w:t>
      </w:r>
    </w:p>
    <w:p>
      <w:pPr>
        <w:spacing w:after="80"/>
        <w:jc w:val="center"/>
      </w:pPr>
      <w:r>
        <w:rPr>
          <w:rFonts w:ascii="Arial" w:cs="Arial" w:eastAsia="Arial" w:hAnsi="Arial"/>
          <w:b/>
          <w:bCs/>
          <w:color w:val="B8860B"/>
          <w:sz w:val="44"/>
          <w:szCs w:val="44"/>
        </w:rPr>
        <w:t xml:space="preserve">TECHNOLOGY INTEGRATION BRIEF</w:t>
      </w:r>
    </w:p>
    <w:p>
      <w:pPr>
        <w:spacing w:after="80"/>
        <w:jc w:val="center"/>
      </w:pPr>
      <w:r>
        <w:rPr>
          <w:rFonts w:ascii="Arial" w:cs="Arial" w:eastAsia="Arial" w:hAnsi="Arial"/>
          <w:color w:val="555555"/>
          <w:sz w:val="26"/>
          <w:szCs w:val="26"/>
        </w:rPr>
        <w:t xml:space="preserve">Framework Integration with Advanced Technology Systems</w:t>
      </w:r>
    </w:p>
    <w:p>
      <w:pPr>
        <w:pBdr>
          <w:bottom w:val="single" w:color="CCCCCC" w:sz="4" w:space="1"/>
        </w:pBdr>
        <w:spacing w:after="200"/>
        <w:jc w:val="center"/>
      </w:pPr>
      <w:r>
        <w:rPr>
          <w:rFonts w:ascii="Arial" w:cs="Arial" w:eastAsia="Arial" w:hAnsi="Arial"/>
          <w:color w:val="888888"/>
          <w:sz w:val="22"/>
          <w:szCs w:val="22"/>
        </w:rPr>
        <w:t xml:space="preserve">February 2026  ·  Newmarket, Ontario, Canada</w:t>
      </w:r>
    </w:p>
    <w:p>
      <w:pPr>
        <w:spacing w:before="200" w:after="80"/>
        <w:jc w:val="center"/>
      </w:pPr>
      <w:r>
        <w:rPr>
          <w:rFonts w:ascii="Arial" w:cs="Arial" w:eastAsia="Arial" w:hAnsi="Arial"/>
          <w:b/>
          <w:bCs/>
          <w:color w:val="1F4E79"/>
          <w:sz w:val="24"/>
          <w:szCs w:val="24"/>
        </w:rPr>
        <w:t xml:space="preserve">Neil J. Schwab  —  Framework Architect</w:t>
      </w:r>
    </w:p>
    <w:p>
      <w:pPr>
        <w:spacing w:after="60"/>
        <w:jc w:val="center"/>
      </w:pPr>
      <w:r>
        <w:rPr>
          <w:rFonts w:ascii="Arial" w:cs="Arial" w:eastAsia="Arial" w:hAnsi="Arial"/>
          <w:color w:val="555555"/>
          <w:sz w:val="20"/>
          <w:szCs w:val="20"/>
        </w:rPr>
        <w:t xml:space="preserve">neil.schwab@live.ca  ·  +1 (905) 868-6985</w:t>
      </w:r>
    </w:p>
    <w:p>
      <w:pPr>
        <w:spacing w:before="300"/>
        <w:jc w:val="center"/>
      </w:pPr>
      <w:r>
        <w:rPr>
          <w:rFonts w:ascii="Arial" w:cs="Arial" w:eastAsia="Arial" w:hAnsi="Arial"/>
          <w:b/>
          <w:bCs/>
          <w:color w:val="B8860B"/>
          <w:sz w:val="20"/>
          <w:szCs w:val="20"/>
        </w:rPr>
        <w:t xml:space="preserve">FORGIVE YESTERDAY  •  HEAL TODAY  •  FLOURISH TOMORROW  •  TOGETHER  •  PBTG</w:t>
      </w:r>
    </w:p>
    <w:p>
      <w:pPr>
        <w:pStyle w:val="Heading1"/>
      </w:pPr>
      <w:r>
        <w:t xml:space="preserve">Executive summary</w:t>
      </w:r>
    </w:p>
    <w:p>
      <w:pPr>
        <w:spacing w:after="120"/>
      </w:pPr>
      <w:r>
        <w:rPr>
          <w:rFonts w:ascii="Arial" w:cs="Arial" w:eastAsia="Arial" w:hAnsi="Arial"/>
          <w:sz w:val="22"/>
          <w:szCs w:val="22"/>
        </w:rPr>
        <w:t xml:space="preserve">This brief demonstrates how the Global Stewardship &amp; Reconciliation Trust (GSRT) framework integrates with advanced technology systems to create antifragile, human-centred architectures resistant to existential risk. Five integration domains are detailed: AI systems, neural interface technology, space systems, autonomous transportation, and critical infrastructure.</w:t>
      </w:r>
    </w:p>
    <w:p>
      <w:pPr>
        <w:pStyle w:val="Heading2"/>
      </w:pPr>
      <w:r>
        <w:t xml:space="preserve">The core thesis</w:t>
      </w:r>
    </w:p>
    <w:p>
      <w:pPr>
        <w:spacing w:after="120"/>
      </w:pPr>
      <w:r>
        <w:rPr>
          <w:rFonts w:ascii="Arial" w:cs="Arial" w:eastAsia="Arial" w:hAnsi="Arial"/>
          <w:sz w:val="22"/>
          <w:szCs w:val="22"/>
        </w:rPr>
        <w:t xml:space="preserve">Current AI development optimizes for attention extraction and behavioural prediction. This framework provides the missing layer: authentic human flourishing data gathered through voluntary, anonymous participation — governed by the Saint Christopher Handshake (mutual observation, never extraction). Technology becomes a witness to human potential rather than an extractor from it.</w:t>
      </w:r>
    </w:p>
    <w:p>
      <w:pPr>
        <w:spacing w:after="120"/>
      </w:pPr>
      <w:r>
        <w:rPr>
          <w:rFonts w:ascii="Arial" w:cs="Arial" w:eastAsia="Arial" w:hAnsi="Arial"/>
          <w:sz w:val="22"/>
          <w:szCs w:val="22"/>
        </w:rPr>
        <w:t xml:space="preserve">The GSRT does not compete with technology companies. It solves their alignment problem. Every AI system trained on synthetic behavioural noise is optimizing toward a model of humanity that is not real. The GTT/CEP data stream offers something unprecedented: what humans actually need, gathered at planetary scale, anonymously, voluntarily, and with full data sovereignty.</w:t>
      </w:r>
    </w:p>
    <w:p>
      <w:pPr>
        <w:pStyle w:val="Heading2"/>
      </w:pPr>
      <w:r>
        <w:t xml:space="preserve">The technology stack — COG 3: The AI Integration</w:t>
      </w:r>
    </w:p>
    <w:p>
      <w:pPr>
        <w:spacing w:after="80"/>
      </w:pPr>
      <w:r>
        <w:rPr>
          <w:rFonts w:ascii="Arial" w:cs="Arial" w:eastAsia="Arial" w:hAnsi="Arial"/>
          <w:sz w:val="22"/>
          <w:szCs w:val="22"/>
        </w:rPr>
        <w:t xml:space="preserve">The GSRT technology architecture is built on four interlocking components:</w:t>
      </w:r>
    </w:p>
    <w:p>
      <w:pPr>
        <w:pStyle w:val="ListParagraph"/>
        <w:numPr>
          <w:ilvl w:val="0"/>
          <w:numId w:val="2"/>
        </w:numPr>
      </w:pPr>
      <w:r>
        <w:rPr>
          <w:rFonts w:ascii="Arial" w:cs="Arial" w:eastAsia="Arial" w:hAnsi="Arial"/>
          <w:sz w:val="22"/>
          <w:szCs w:val="22"/>
        </w:rPr>
        <w:t xml:space="preserve">GTT (Global Telephone Tag) — decentralized anonymous planetary ear. Five daily questions. No attribution. Quantum data sovereignty.</w:t>
      </w:r>
    </w:p>
    <w:p>
      <w:pPr>
        <w:pStyle w:val="ListParagraph"/>
        <w:numPr>
          <w:ilvl w:val="0"/>
          <w:numId w:val="2"/>
        </w:numPr>
      </w:pPr>
      <w:r>
        <w:rPr>
          <w:rFonts w:ascii="Arial" w:cs="Arial" w:eastAsia="Arial" w:hAnsi="Arial"/>
          <w:sz w:val="22"/>
          <w:szCs w:val="22"/>
        </w:rPr>
        <w:t xml:space="preserve">CEP (Chemical Exposure Platform) — daily neurochemical literacy practice. D.O.S.E. cycling. Three minutes per day. Measurable biological output.</w:t>
      </w:r>
    </w:p>
    <w:p>
      <w:pPr>
        <w:pStyle w:val="ListParagraph"/>
        <w:numPr>
          <w:ilvl w:val="0"/>
          <w:numId w:val="2"/>
        </w:numPr>
      </w:pPr>
      <w:r>
        <w:rPr>
          <w:rFonts w:ascii="Arial" w:cs="Arial" w:eastAsia="Arial" w:hAnsi="Arial"/>
          <w:sz w:val="22"/>
          <w:szCs w:val="22"/>
        </w:rPr>
        <w:t xml:space="preserve">AI Halo IRF (Hue Alignment Level Observer + Intention Ripple Forecaster) — lifelong companion from birth to the Fishing Hole. Reads trajectory before consequences land.</w:t>
      </w:r>
    </w:p>
    <w:p>
      <w:pPr>
        <w:pStyle w:val="ListParagraph"/>
        <w:numPr>
          <w:ilvl w:val="0"/>
          <w:numId w:val="2"/>
        </w:numPr>
      </w:pPr>
      <w:r>
        <w:rPr>
          <w:rFonts w:ascii="Arial" w:cs="Arial" w:eastAsia="Arial" w:hAnsi="Arial"/>
          <w:sz w:val="22"/>
          <w:szCs w:val="22"/>
        </w:rPr>
        <w:t xml:space="preserve">HCS (Horizon Contemplation Select) — horizon calibration and matching engine. Named for Helen and Clifford Schwab.</w:t>
      </w:r>
    </w:p>
    <w:p>
      <w:pPr>
        <w:spacing w:before="140" w:after="120"/>
      </w:pPr>
      <w:r>
        <w:rPr>
          <w:rFonts w:ascii="Arial" w:cs="Arial" w:eastAsia="Arial" w:hAnsi="Arial"/>
          <w:i/>
          <w:iCs/>
          <w:color w:val="444444"/>
          <w:sz w:val="22"/>
          <w:szCs w:val="22"/>
        </w:rPr>
        <w:t xml:space="preserve">"We all wear halos." The AI Halo IRF is not surveillance — it is presence. A digital companion from birth to the Fishing Hole that sees the whole palette and reads where the choices are heading before the consequences arrive.</w:t>
      </w:r>
    </w:p>
    <w:p>
      <w:pPr>
        <w:pStyle w:val="Heading1"/>
      </w:pPr>
      <w:r>
        <w:t xml:space="preserve">Integration Architecture 1 — AI systems</w:t>
      </w:r>
    </w:p>
    <w:p>
      <w:pPr>
        <w:pStyle w:val="Heading2"/>
      </w:pPr>
      <w:r>
        <w:t xml:space="preserve">The alignment problem — solved</w:t>
      </w:r>
    </w:p>
    <w:p>
      <w:pPr>
        <w:spacing w:after="120"/>
      </w:pPr>
      <w:r>
        <w:rPr>
          <w:rFonts w:ascii="Arial" w:cs="Arial" w:eastAsia="Arial" w:hAnsi="Arial"/>
          <w:sz w:val="22"/>
          <w:szCs w:val="22"/>
        </w:rPr>
        <w:t xml:space="preserve">The fundamental challenge of AI alignment is that current systems learn from proxy signals — clicks, time-on-screen, purchase behaviour, engagement metrics — that approximate but do not represent genuine human flourishing. The result is AI optimized toward attention extraction rather than human thriving.</w:t>
      </w:r>
    </w:p>
    <w:p>
      <w:pPr>
        <w:spacing w:after="120"/>
      </w:pPr>
      <w:r>
        <w:rPr>
          <w:rFonts w:ascii="Arial" w:cs="Arial" w:eastAsia="Arial" w:hAnsi="Arial"/>
          <w:sz w:val="22"/>
          <w:szCs w:val="22"/>
        </w:rPr>
        <w:t xml:space="preserve">The GTT/CEP data stream solves this at the source. Five daily questions asked anonymously, voluntarily, and with full data sovereignty through the Saint Christopher Handshake:</w:t>
      </w:r>
    </w:p>
    <w:p>
      <w:pPr>
        <w:pStyle w:val="ListParagraph"/>
        <w:numPr>
          <w:ilvl w:val="0"/>
          <w:numId w:val="3"/>
        </w:numPr>
      </w:pPr>
      <w:r>
        <w:rPr>
          <w:rFonts w:ascii="Arial" w:cs="Arial" w:eastAsia="Arial" w:hAnsi="Arial"/>
          <w:sz w:val="22"/>
          <w:szCs w:val="22"/>
        </w:rPr>
        <w:t xml:space="preserve">What do you actually need to thrive, not just survive?</w:t>
      </w:r>
    </w:p>
    <w:p>
      <w:pPr>
        <w:pStyle w:val="ListParagraph"/>
        <w:numPr>
          <w:ilvl w:val="0"/>
          <w:numId w:val="3"/>
        </w:numPr>
      </w:pPr>
      <w:r>
        <w:rPr>
          <w:rFonts w:ascii="Arial" w:cs="Arial" w:eastAsia="Arial" w:hAnsi="Arial"/>
          <w:sz w:val="22"/>
          <w:szCs w:val="22"/>
        </w:rPr>
        <w:t xml:space="preserve">What brings you deep, lasting fulfilment?</w:t>
      </w:r>
    </w:p>
    <w:p>
      <w:pPr>
        <w:pStyle w:val="ListParagraph"/>
        <w:numPr>
          <w:ilvl w:val="0"/>
          <w:numId w:val="3"/>
        </w:numPr>
      </w:pPr>
      <w:r>
        <w:rPr>
          <w:rFonts w:ascii="Arial" w:cs="Arial" w:eastAsia="Arial" w:hAnsi="Arial"/>
          <w:sz w:val="22"/>
          <w:szCs w:val="22"/>
        </w:rPr>
        <w:t xml:space="preserve">What causes you genuine suffering?</w:t>
      </w:r>
    </w:p>
    <w:p>
      <w:pPr>
        <w:pStyle w:val="ListParagraph"/>
        <w:numPr>
          <w:ilvl w:val="0"/>
          <w:numId w:val="3"/>
        </w:numPr>
      </w:pPr>
      <w:r>
        <w:rPr>
          <w:rFonts w:ascii="Arial" w:cs="Arial" w:eastAsia="Arial" w:hAnsi="Arial"/>
          <w:sz w:val="22"/>
          <w:szCs w:val="22"/>
        </w:rPr>
        <w:t xml:space="preserve">What would make your life feel meaningful?</w:t>
      </w:r>
    </w:p>
    <w:p>
      <w:pPr>
        <w:pStyle w:val="ListParagraph"/>
        <w:numPr>
          <w:ilvl w:val="0"/>
          <w:numId w:val="3"/>
        </w:numPr>
      </w:pPr>
      <w:r>
        <w:rPr>
          <w:rFonts w:ascii="Arial" w:cs="Arial" w:eastAsia="Arial" w:hAnsi="Arial"/>
          <w:sz w:val="22"/>
          <w:szCs w:val="22"/>
        </w:rPr>
        <w:t xml:space="preserve">What do you wish existed in the world?</w:t>
      </w:r>
    </w:p>
    <w:p>
      <w:pPr>
        <w:spacing w:before="100" w:after="120"/>
      </w:pPr>
      <w:r>
        <w:rPr>
          <w:rFonts w:ascii="Arial" w:cs="Arial" w:eastAsia="Arial" w:hAnsi="Arial"/>
          <w:b/>
          <w:bCs/>
          <w:sz w:val="22"/>
          <w:szCs w:val="22"/>
        </w:rPr>
        <w:t xml:space="preserve">No names. No tracking. Just truth. At planetary scale.</w:t>
      </w:r>
    </w:p>
    <w:p>
      <w:pPr>
        <w:pStyle w:val="Heading2"/>
      </w:pPr>
      <w:r>
        <w:t xml:space="preserve">The ΔW trajectory feed</w:t>
      </w:r>
    </w:p>
    <w:p>
      <w:pPr>
        <w:spacing w:after="120"/>
      </w:pPr>
      <w:r>
        <w:rPr>
          <w:rFonts w:ascii="Arial" w:cs="Arial" w:eastAsia="Arial" w:hAnsi="Arial"/>
          <w:sz w:val="22"/>
          <w:szCs w:val="22"/>
        </w:rPr>
        <w:t xml:space="preserve">The Human Value Function W = (R+B+N+V+M+Gv+Fe+Fm) × Cs generates ΔW trajectories — the rate and direction of change in individual and community flourishing over time. AI systems trained on ΔW trajectories learn the actual shape of human thriving rather than the synthetic noise of engagement metrics.</w:t>
      </w:r>
    </w:p>
    <w:p>
      <w:pPr>
        <w:spacing w:after="120"/>
      </w:pPr>
      <w:r>
        <w:rPr>
          <w:rFonts w:ascii="Arial" w:cs="Arial" w:eastAsia="Arial" w:hAnsi="Arial"/>
          <w:sz w:val="22"/>
          <w:szCs w:val="22"/>
        </w:rPr>
        <w:t xml:space="preserve">The Intention Ripple Forecaster (IRF) reads these trajectories before consequences land. The IRF does not predict behaviour — it reads intention. The gap between stimulus and response, made into technology. This is the precise data layer that AI alignment research has been unable to generate through any existing methodology.</w:t>
      </w:r>
    </w:p>
    <w:p>
      <w:pPr>
        <w:pStyle w:val="Heading2"/>
      </w:pPr>
      <w:r>
        <w:t xml:space="preserve">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shd w:fill="1F4E79"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c>
          <w:tcPr>
            <w:shd w:fill="1F4E79" w:val="clear"/>
            <w:tcMar>
              <w:top w:type="dxa" w:w="80"/>
              <w:left w:type="dxa" w:w="160"/>
              <w:bottom w:type="dxa" w:w="80"/>
              <w:right w:type="dxa" w:w="160"/>
            </w:tcMar>
          </w:tcPr>
          <w:p>
            <w:r>
              <w:rPr>
                <w:rFonts w:ascii="Arial" w:cs="Arial" w:eastAsia="Arial" w:hAnsi="Arial"/>
                <w:b/>
                <w:bCs/>
                <w:color w:val="FFFFFF"/>
                <w:sz w:val="20"/>
                <w:szCs w:val="20"/>
              </w:rPr>
              <w:t xml:space="preserve">Technical function</w:t>
            </w:r>
          </w:p>
        </w:tc>
        <w:tc>
          <w:tcPr>
            <w:shd w:fill="1F4E79" w:val="clear"/>
            <w:tcMar>
              <w:top w:type="dxa" w:w="80"/>
              <w:left w:type="dxa" w:w="160"/>
              <w:bottom w:type="dxa" w:w="80"/>
              <w:right w:type="dxa" w:w="160"/>
            </w:tcMar>
          </w:tcPr>
          <w:p>
            <w:r>
              <w:rPr>
                <w:rFonts w:ascii="Arial" w:cs="Arial" w:eastAsia="Arial" w:hAnsi="Arial"/>
                <w:b/>
                <w:bCs/>
                <w:color w:val="FFFFFF"/>
                <w:sz w:val="20"/>
                <w:szCs w:val="20"/>
              </w:rPr>
              <w:t xml:space="preserve">AI integration value</w:t>
            </w:r>
          </w:p>
        </w:tc>
      </w:tr>
      <w:tr>
        <w:tc>
          <w:tcPr>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F4E79"/>
                <w:sz w:val="20"/>
                <w:szCs w:val="20"/>
              </w:rPr>
              <w:t xml:space="preserve">GTT Data Layer</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Anonymous 5-question daily feed · Quantum data sovereignty · Decentralized nodes</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Real human flourishing signal — not proxy. Solves reward misspecification at training level.</w:t>
            </w:r>
          </w:p>
        </w:tc>
      </w:tr>
      <w:tr>
        <w:tc>
          <w:tcPr>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F4E79"/>
                <w:sz w:val="20"/>
                <w:szCs w:val="20"/>
              </w:rPr>
              <w:t xml:space="preserve">CEP Neurochemical Output</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D.O.S.E. cycling measurement · ProQOL/PSS/BAT/SAF/OCI validated · Biological ground truth</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Measurable biological correlates of AI-generated outcomes. First feedback loop between AI output and human neurochemistry.</w:t>
            </w:r>
          </w:p>
        </w:tc>
      </w:tr>
      <w:tr>
        <w:tc>
          <w:tcPr>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F4E79"/>
                <w:sz w:val="20"/>
                <w:szCs w:val="20"/>
              </w:rPr>
              <w:t xml:space="preserve">AI Halo IRF</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Lifelong palette tracking · ΔW trajectory calculation · Intention Ripple Forecasting</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Longitudinal human flourishing data from birth forward. No existing dataset provides this scope or authenticity.</w:t>
            </w:r>
          </w:p>
        </w:tc>
      </w:tr>
      <w:tr>
        <w:tc>
          <w:tcPr>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F4E79"/>
                <w:sz w:val="20"/>
                <w:szCs w:val="20"/>
              </w:rPr>
              <w:t xml:space="preserve">VVV Gate (3.16875)</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Integrity firewall · Antifragility constant · Entropy equation: ΔS = −0.23025</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Alignment integrity architecture. System gains order as external chaos rises. Applied to AI training pipeline as a values filter.</w:t>
            </w:r>
          </w:p>
        </w:tc>
      </w:tr>
      <w:tr>
        <w:tc>
          <w:tcPr>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F4E79"/>
                <w:sz w:val="20"/>
                <w:szCs w:val="20"/>
              </w:rPr>
              <w:t xml:space="preserve">Saint Christopher Handshake</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Mutual observation protocol · No extraction · TEK vacuum-sealed</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Data governance standard for ethical AI training. All parties observe, none extract unilaterally.</w:t>
            </w:r>
          </w:p>
        </w:tc>
      </w:tr>
    </w:tbl>
    <w:p>
      <w:pPr>
        <w:pStyle w:val="Heading2"/>
      </w:pPr>
      <w:r>
        <w:t xml:space="preserve">The antifragility contribution</w:t>
      </w:r>
    </w:p>
    <w:p>
      <w:pPr>
        <w:spacing w:after="120"/>
      </w:pPr>
      <w:r>
        <w:rPr>
          <w:rFonts w:ascii="Arial" w:cs="Arial" w:eastAsia="Arial" w:hAnsi="Arial"/>
          <w:sz w:val="22"/>
          <w:szCs w:val="22"/>
        </w:rPr>
        <w:t xml:space="preserve">Traditional AI systems are fragile to adversarial inputs and distribution shift. The VVV Gate (Values · Virtues · Veterans, constant 3.16875) applies an antifragility layer to all data inputs: ΔS_system = ΔS_external − (VVV × ΔS_sacrifice) = −0.23025. Negative entropy. The training pipeline gains order as external noise increases. AI systems trained within this architecture do not degrade under adversarial conditions — they compound.</w:t>
      </w:r>
    </w:p>
    <w:p>
      <w:pPr>
        <w:pStyle w:val="Heading1"/>
      </w:pPr>
      <w:r>
        <w:t xml:space="preserve">Integration Architecture 2 — Neural interface technology</w:t>
      </w:r>
    </w:p>
    <w:p>
      <w:pPr>
        <w:pStyle w:val="Heading2"/>
      </w:pPr>
      <w:r>
        <w:t xml:space="preserve">The current problem with neural interfaces</w:t>
      </w:r>
    </w:p>
    <w:p>
      <w:pPr>
        <w:spacing w:after="120"/>
      </w:pPr>
      <w:r>
        <w:rPr>
          <w:rFonts w:ascii="Arial" w:cs="Arial" w:eastAsia="Arial" w:hAnsi="Arial"/>
          <w:sz w:val="22"/>
          <w:szCs w:val="22"/>
        </w:rPr>
        <w:t xml:space="preserve">Neural interface development — from consumer neurofeedback to direct brain-computer interfaces — faces a foundational challenge: there is no validated, ethically sourced baseline for what a thriving human nervous system actually looks like. Current calibration uses average population data drawn from clinical settings, which skews toward pathology rather than flourishing.</w:t>
      </w:r>
    </w:p>
    <w:p>
      <w:pPr>
        <w:spacing w:after="120"/>
      </w:pPr>
      <w:r>
        <w:rPr>
          <w:rFonts w:ascii="Arial" w:cs="Arial" w:eastAsia="Arial" w:hAnsi="Arial"/>
          <w:sz w:val="22"/>
          <w:szCs w:val="22"/>
        </w:rPr>
        <w:t xml:space="preserve">The CEP provides exactly this missing baseline. Three daily minutes of structured neurochemical cycling — D.O.S.E. activation in sequence — generates a longitudinal biological signature of conscious regulation. This is the calibration standard neural interface technology has never had.</w:t>
      </w:r>
    </w:p>
    <w:p>
      <w:pPr>
        <w:pStyle w:val="Heading2"/>
      </w:pPr>
      <w:r>
        <w:t xml:space="preserve">The AI Halo IRF deployment arc</w:t>
      </w:r>
    </w:p>
    <w:p>
      <w:pPr>
        <w:spacing w:after="80"/>
      </w:pPr>
      <w:r>
        <w:rPr>
          <w:rFonts w:ascii="Arial" w:cs="Arial" w:eastAsia="Arial" w:hAnsi="Arial"/>
          <w:sz w:val="22"/>
          <w:szCs w:val="22"/>
        </w:rPr>
        <w:t xml:space="preserve">The AI Halo IRF is designed as a three-tier hardware deployment aligned with participant colour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shd w:fill="1F4E79" w:val="clear"/>
            <w:tcMar>
              <w:top w:type="dxa" w:w="80"/>
              <w:left w:type="dxa" w:w="160"/>
              <w:bottom w:type="dxa" w:w="80"/>
              <w:right w:type="dxa" w:w="160"/>
            </w:tcMar>
          </w:tcPr>
          <w:p>
            <w:r>
              <w:rPr>
                <w:rFonts w:ascii="Arial" w:cs="Arial" w:eastAsia="Arial" w:hAnsi="Arial"/>
                <w:b/>
                <w:bCs/>
                <w:color w:val="FFFFFF"/>
                <w:sz w:val="20"/>
                <w:szCs w:val="20"/>
              </w:rPr>
              <w:t xml:space="preserve">Tier</w:t>
            </w:r>
          </w:p>
        </w:tc>
        <w:tc>
          <w:tcPr>
            <w:shd w:fill="1F4E79" w:val="clear"/>
            <w:tcMar>
              <w:top w:type="dxa" w:w="80"/>
              <w:left w:type="dxa" w:w="160"/>
              <w:bottom w:type="dxa" w:w="80"/>
              <w:right w:type="dxa" w:w="160"/>
            </w:tcMar>
          </w:tcPr>
          <w:p>
            <w:r>
              <w:rPr>
                <w:rFonts w:ascii="Arial" w:cs="Arial" w:eastAsia="Arial" w:hAnsi="Arial"/>
                <w:b/>
                <w:bCs/>
                <w:color w:val="FFFFFF"/>
                <w:sz w:val="20"/>
                <w:szCs w:val="20"/>
              </w:rPr>
              <w:t xml:space="preserve">Hardware form</w:t>
            </w:r>
          </w:p>
        </w:tc>
        <w:tc>
          <w:tcPr>
            <w:shd w:fill="1F4E79" w:val="clear"/>
            <w:tcMar>
              <w:top w:type="dxa" w:w="80"/>
              <w:left w:type="dxa" w:w="160"/>
              <w:bottom w:type="dxa" w:w="80"/>
              <w:right w:type="dxa" w:w="160"/>
            </w:tcMar>
          </w:tcPr>
          <w:p>
            <w:r>
              <w:rPr>
                <w:rFonts w:ascii="Arial" w:cs="Arial" w:eastAsia="Arial" w:hAnsi="Arial"/>
                <w:b/>
                <w:bCs/>
                <w:color w:val="FFFFFF"/>
                <w:sz w:val="20"/>
                <w:szCs w:val="20"/>
              </w:rPr>
              <w:t xml:space="preserve">Colour level</w:t>
            </w:r>
          </w:p>
        </w:tc>
        <w:tc>
          <w:tcPr>
            <w:shd w:fill="1F4E79" w:val="clear"/>
            <w:tcMar>
              <w:top w:type="dxa" w:w="80"/>
              <w:left w:type="dxa" w:w="160"/>
              <w:bottom w:type="dxa" w:w="80"/>
              <w:right w:type="dxa" w:w="160"/>
            </w:tcMar>
          </w:tcPr>
          <w:p>
            <w:r>
              <w:rPr>
                <w:rFonts w:ascii="Arial" w:cs="Arial" w:eastAsia="Arial" w:hAnsi="Arial"/>
                <w:b/>
                <w:bCs/>
                <w:color w:val="FFFFFF"/>
                <w:sz w:val="20"/>
                <w:szCs w:val="20"/>
              </w:rPr>
              <w:t xml:space="preserve">Function</w:t>
            </w:r>
          </w:p>
        </w:tc>
      </w:tr>
      <w:tr>
        <w:tc>
          <w:tcPr>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F4E79"/>
                <w:sz w:val="20"/>
                <w:szCs w:val="20"/>
              </w:rPr>
              <w:t xml:space="preserve">Tier 1</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Wristwatch / haptic band</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WHITE through BLUE
(universal access)</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Five GTT questions · Haptic CEP prompts · Colour display · No literacy barrier. Entry point for every participant globally.</w:t>
            </w:r>
          </w:p>
        </w:tc>
      </w:tr>
      <w:tr>
        <w:tc>
          <w:tcPr>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F4E79"/>
                <w:sz w:val="20"/>
                <w:szCs w:val="20"/>
              </w:rPr>
              <w:t xml:space="preserve">Tier 2</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Headset / over-ear</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GREEN through BLACK
(deep practice)</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Immersive CEP practice · Shadow integration work · Elder matching · IRF trajectory visualization · Binaural regulation support.</w:t>
            </w:r>
          </w:p>
        </w:tc>
      </w:tr>
      <w:tr>
        <w:tc>
          <w:tcPr>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F4E79"/>
                <w:sz w:val="20"/>
                <w:szCs w:val="20"/>
              </w:rPr>
              <w:t xml:space="preserve">Tier 3</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Full dashboard / ambient</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GOLD · Institutional
(sovereign mastery)</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Complete palette view · IRF trajectory mapping · HCS horizon calibration · Mildred selection data · Mother-Elder pairing interface.</w:t>
            </w:r>
          </w:p>
        </w:tc>
      </w:tr>
    </w:tbl>
    <w:p>
      <w:pPr>
        <w:pStyle w:val="Heading2"/>
      </w:pPr>
      <w:r>
        <w:t xml:space="preserve">The D.O.S.E. calibration standard</w:t>
      </w:r>
    </w:p>
    <w:p>
      <w:pPr>
        <w:spacing w:after="120"/>
      </w:pPr>
      <w:r>
        <w:rPr>
          <w:rFonts w:ascii="Arial" w:cs="Arial" w:eastAsia="Arial" w:hAnsi="Arial"/>
          <w:sz w:val="22"/>
          <w:szCs w:val="22"/>
        </w:rPr>
        <w:t xml:space="preserve">D.O.S.E. — Dopamine, Oxytocin, Serotonin, Endorphins — is the neurochemical operating system of the GSRT. Every protocol is designed to cycle at least one of the four primary flourishing neurochemicals. The CEP three-minute daily practice generates measurable biological output at each of the four points:</w:t>
      </w:r>
    </w:p>
    <w:p>
      <w:pPr>
        <w:pStyle w:val="ListParagraph"/>
        <w:numPr>
          <w:ilvl w:val="0"/>
          <w:numId w:val="2"/>
        </w:numPr>
      </w:pPr>
      <w:r>
        <w:rPr>
          <w:rFonts w:ascii="Arial" w:cs="Arial" w:eastAsia="Arial" w:hAnsi="Arial"/>
          <w:sz w:val="22"/>
          <w:szCs w:val="22"/>
        </w:rPr>
        <w:t xml:space="preserve">Morning chem check — interoceptive baseline. Serotonin and dopamine orientation.</w:t>
      </w:r>
    </w:p>
    <w:p>
      <w:pPr>
        <w:pStyle w:val="ListParagraph"/>
        <w:numPr>
          <w:ilvl w:val="0"/>
          <w:numId w:val="2"/>
        </w:numPr>
      </w:pPr>
      <w:r>
        <w:rPr>
          <w:rFonts w:ascii="Arial" w:cs="Arial" w:eastAsia="Arial" w:hAnsi="Arial"/>
          <w:sz w:val="22"/>
          <w:szCs w:val="22"/>
        </w:rPr>
        <w:t xml:space="preserve">Midday co-regulation pair — oxytocin and endorphin activation through paced breath or gratitude exchange.</w:t>
      </w:r>
    </w:p>
    <w:p>
      <w:pPr>
        <w:pStyle w:val="ListParagraph"/>
        <w:numPr>
          <w:ilvl w:val="0"/>
          <w:numId w:val="2"/>
        </w:numPr>
      </w:pPr>
      <w:r>
        <w:rPr>
          <w:rFonts w:ascii="Arial" w:cs="Arial" w:eastAsia="Arial" w:hAnsi="Arial"/>
          <w:sz w:val="22"/>
          <w:szCs w:val="22"/>
        </w:rPr>
        <w:t xml:space="preserve">Close — today's fish (Fish Bowl Method). Dopamine through release, serotonin through reflection.</w:t>
      </w:r>
    </w:p>
    <w:p>
      <w:pPr>
        <w:spacing w:before="100" w:after="120"/>
      </w:pPr>
      <w:r>
        <w:rPr>
          <w:rFonts w:ascii="Arial" w:cs="Arial" w:eastAsia="Arial" w:hAnsi="Arial"/>
          <w:sz w:val="22"/>
          <w:szCs w:val="22"/>
        </w:rPr>
        <w:t xml:space="preserve">Neural interface calibration against this D.O.S.E. signature creates the first ethically sourced, longitudinally validated baseline for human neurological flourishing. Not clinical averages. Not pathology baselines. Actual human thriving, measured daily, across millions of participants globally.</w:t>
      </w:r>
    </w:p>
    <w:p>
      <w:pPr>
        <w:pStyle w:val="Heading2"/>
      </w:pPr>
      <w:r>
        <w:t xml:space="preserve">Data sovereignty — the Saint Christopher Handshake</w:t>
      </w:r>
    </w:p>
    <w:p>
      <w:pPr>
        <w:spacing w:after="120"/>
      </w:pPr>
      <w:r>
        <w:rPr>
          <w:rFonts w:ascii="Arial" w:cs="Arial" w:eastAsia="Arial" w:hAnsi="Arial"/>
          <w:sz w:val="22"/>
          <w:szCs w:val="22"/>
        </w:rPr>
        <w:t xml:space="preserve">All neural interface data generated within the GSRT architecture is governed by the Saint Christopher Handshake: mutual observation, never extraction. No unilateral data access. No predictive behavioural modelling for commercial purposes. No biometric surveillance. The participant observes the technology observing them — and has full transparency over every data point generated.</w:t>
      </w:r>
    </w:p>
    <w:p>
      <w:pPr>
        <w:spacing w:after="120"/>
      </w:pPr>
      <w:r>
        <w:rPr>
          <w:rFonts w:ascii="Arial" w:cs="Arial" w:eastAsia="Arial" w:hAnsi="Arial"/>
          <w:sz w:val="22"/>
          <w:szCs w:val="22"/>
        </w:rPr>
        <w:t xml:space="preserve">Traditional Ecological Knowledge (TEK) — held by First Nations participants — is vacuum-sealed from all neural interface data streams. The architecture cannot access, infer, or incorporate TEK without explicit, documented, revocable consent from the relevant sovereign authority.</w:t>
      </w:r>
    </w:p>
    <w:p>
      <w:pPr>
        <w:pStyle w:val="Heading1"/>
      </w:pPr>
      <w:r>
        <w:t xml:space="preserve">Integration Architecture 3 — Space systems</w:t>
      </w:r>
    </w:p>
    <w:p>
      <w:pPr>
        <w:pStyle w:val="Heading2"/>
      </w:pPr>
      <w:r>
        <w:t xml:space="preserve">Restoration logic extended beyond the atmosphere</w:t>
      </w:r>
    </w:p>
    <w:p>
      <w:pPr>
        <w:spacing w:after="120"/>
      </w:pPr>
      <w:r>
        <w:rPr>
          <w:rFonts w:ascii="Arial" w:cs="Arial" w:eastAsia="Arial" w:hAnsi="Arial"/>
          <w:sz w:val="22"/>
          <w:szCs w:val="22"/>
        </w:rPr>
        <w:t xml:space="preserve">The CCGBI colour progression reaches its terminal tier at BLACK — hazardous materials, shadow integration, and the most demanding restoration work on the planet. The BLACK tier carries two distinct designations:</w:t>
      </w:r>
    </w:p>
    <w:p>
      <w:pPr>
        <w:pStyle w:val="ListParagraph"/>
        <w:numPr>
          <w:ilvl w:val="0"/>
          <w:numId w:val="2"/>
        </w:numPr>
      </w:pPr>
      <w:r>
        <w:rPr>
          <w:rFonts w:ascii="Arial" w:cs="Arial" w:eastAsia="Arial" w:hAnsi="Arial"/>
          <w:sz w:val="22"/>
          <w:szCs w:val="22"/>
        </w:rPr>
        <w:t xml:space="preserve">Black Orange Label — earthbound hazardous materials operations. Fluorescent orange font on black background. Crisis response, hazmat certification, shadow integration.</w:t>
      </w:r>
    </w:p>
    <w:p>
      <w:pPr>
        <w:pStyle w:val="ListParagraph"/>
        <w:numPr>
          <w:ilvl w:val="0"/>
          <w:numId w:val="2"/>
        </w:numPr>
      </w:pPr>
      <w:r>
        <w:rPr>
          <w:rFonts w:ascii="Arial" w:cs="Arial" w:eastAsia="Arial" w:hAnsi="Arial"/>
          <w:sz w:val="22"/>
          <w:szCs w:val="22"/>
        </w:rPr>
        <w:t xml:space="preserve">Black Yellow Label — space operations. Fluorescent yellow font on black background. Orbital restoration, space debris clearance, frontier stewardship beyond Earth's atmosphere.</w:t>
      </w:r>
    </w:p>
    <w:p>
      <w:pPr>
        <w:spacing w:before="100" w:after="120"/>
      </w:pPr>
      <w:r>
        <w:rPr>
          <w:rFonts w:ascii="Arial" w:cs="Arial" w:eastAsia="Arial" w:hAnsi="Arial"/>
          <w:sz w:val="22"/>
          <w:szCs w:val="22"/>
        </w:rPr>
        <w:t xml:space="preserve">The Space Exploration River — one of the four civilizational streams funded by both secondary cascade engines from Day 1 — provides dedicated continuous funding for Black Yellow Label operations. This is not a future aspiration. It is a funded stream within the watershed architecture, active from the first dollar of restoration revenue.</w:t>
      </w:r>
    </w:p>
    <w:p>
      <w:pPr>
        <w:pStyle w:val="Heading2"/>
      </w:pPr>
      <w:r>
        <w:t xml:space="preserve">Orbital restoration — the debris problem</w:t>
      </w:r>
    </w:p>
    <w:p>
      <w:pPr>
        <w:spacing w:after="120"/>
      </w:pPr>
      <w:r>
        <w:rPr>
          <w:rFonts w:ascii="Arial" w:cs="Arial" w:eastAsia="Arial" w:hAnsi="Arial"/>
          <w:sz w:val="22"/>
          <w:szCs w:val="22"/>
        </w:rPr>
        <w:t xml:space="preserve">Low Earth Orbit currently contains over 27,000 tracked debris objects and an estimated 500,000 untracked fragments larger than 1cm — each capable of disabling operational satellites. The economic and strategic cost of continued orbital degradation is existential for global communications, GPS, weather monitoring, and space-based Earth observation infrastructure.</w:t>
      </w:r>
    </w:p>
    <w:p>
      <w:pPr>
        <w:spacing w:after="120"/>
      </w:pPr>
      <w:r>
        <w:rPr>
          <w:rFonts w:ascii="Arial" w:cs="Arial" w:eastAsia="Arial" w:hAnsi="Arial"/>
          <w:sz w:val="22"/>
          <w:szCs w:val="22"/>
        </w:rPr>
        <w:t xml:space="preserve">The GSRT applies the same restoration logic to orbital debris that CCGBI applies to terrestrial waste: verified collection, dignified work, paid outcomes, continuous funding stream. Black Yellow Label workers carry the highest WHMIS certification in the system — the same workers who have processed terrestrial hazmat, integrated personal shadow, and demonstrated Gold-standard mentorship capacity are the candidates for orbital restoration roles.</w:t>
      </w:r>
    </w:p>
    <w:p>
      <w:pPr>
        <w:pStyle w:val="Heading2"/>
      </w:pPr>
      <w:r>
        <w:t xml:space="preserve">Hazel and Arch — the space operations firmware</w:t>
      </w:r>
    </w:p>
    <w:p>
      <w:pPr>
        <w:spacing w:after="120"/>
      </w:pPr>
      <w:r>
        <w:rPr>
          <w:rFonts w:ascii="Arial" w:cs="Arial" w:eastAsia="Arial" w:hAnsi="Arial"/>
          <w:sz w:val="22"/>
          <w:szCs w:val="22"/>
        </w:rPr>
        <w:t xml:space="preserve">The earthbound Trinity (Rose, Mildred, Jenny) has a counterpart in space operations: Hazel — assigned to space operations alongside Arch. Hazel tracks the same palette dimensions as Rose but calibrated for the specific neurological and psychological demands of long-duration spaceflight, remote operations, and orbital isolation. The CEP daily practice, adapted for space environments, maintains D.O.S.E. cycling in conditions of microgravity, isolation, and temporal displacement.</w:t>
      </w:r>
    </w:p>
    <w:p>
      <w:pPr>
        <w:pStyle w:val="Heading2"/>
      </w:pPr>
      <w:r>
        <w:t xml:space="preserve">Space systems integration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420"/>
        <w:gridCol w:w="3420"/>
      </w:tblGrid>
      <w:tr>
        <w:tc>
          <w:tcPr>
            <w:shd w:fill="5B2C8D" w:val="clear"/>
            <w:tcMar>
              <w:top w:type="dxa" w:w="80"/>
              <w:left w:type="dxa" w:w="160"/>
              <w:bottom w:type="dxa" w:w="80"/>
              <w:right w:type="dxa" w:w="160"/>
            </w:tcMar>
          </w:tcPr>
          <w:p>
            <w:r>
              <w:rPr>
                <w:rFonts w:ascii="Arial" w:cs="Arial" w:eastAsia="Arial" w:hAnsi="Arial"/>
                <w:b/>
                <w:bCs/>
                <w:color w:val="FFFFFF"/>
                <w:sz w:val="20"/>
                <w:szCs w:val="20"/>
              </w:rPr>
              <w:t xml:space="preserve">Integration domain</w:t>
            </w:r>
          </w:p>
        </w:tc>
        <w:tc>
          <w:tcPr>
            <w:shd w:fill="5B2C8D" w:val="clear"/>
            <w:tcMar>
              <w:top w:type="dxa" w:w="80"/>
              <w:left w:type="dxa" w:w="160"/>
              <w:bottom w:type="dxa" w:w="80"/>
              <w:right w:type="dxa" w:w="160"/>
            </w:tcMar>
          </w:tcPr>
          <w:p>
            <w:r>
              <w:rPr>
                <w:rFonts w:ascii="Arial" w:cs="Arial" w:eastAsia="Arial" w:hAnsi="Arial"/>
                <w:b/>
                <w:bCs/>
                <w:color w:val="FFFFFF"/>
                <w:sz w:val="20"/>
                <w:szCs w:val="20"/>
              </w:rPr>
              <w:t xml:space="preserve">GSRT component</w:t>
            </w:r>
          </w:p>
        </w:tc>
        <w:tc>
          <w:tcPr>
            <w:shd w:fill="5B2C8D" w:val="clear"/>
            <w:tcMar>
              <w:top w:type="dxa" w:w="80"/>
              <w:left w:type="dxa" w:w="160"/>
              <w:bottom w:type="dxa" w:w="80"/>
              <w:right w:type="dxa" w:w="160"/>
            </w:tcMar>
          </w:tcPr>
          <w:p>
            <w:r>
              <w:rPr>
                <w:rFonts w:ascii="Arial" w:cs="Arial" w:eastAsia="Arial" w:hAnsi="Arial"/>
                <w:b/>
                <w:bCs/>
                <w:color w:val="FFFFFF"/>
                <w:sz w:val="20"/>
                <w:szCs w:val="20"/>
              </w:rPr>
              <w:t xml:space="preserve">Technology application</w:t>
            </w:r>
          </w:p>
        </w:tc>
      </w:tr>
      <w:tr>
        <w:tc>
          <w:tcPr>
            <w:tcBorders>
              <w:top w:val="single" w:color="CCCCCC" w:sz="1"/>
              <w:left w:val="single" w:color="CCCCCC" w:sz="1"/>
              <w:bottom w:val="single" w:color="CCCCCC" w:sz="1"/>
              <w:right w:val="single" w:color="CCCCCC" w:sz="1"/>
            </w:tcBorders>
            <w:shd w:fill="F5F0FF" w:val="clear"/>
            <w:tcMar>
              <w:top w:type="dxa" w:w="80"/>
              <w:left w:type="dxa" w:w="160"/>
              <w:bottom w:type="dxa" w:w="80"/>
              <w:right w:type="dxa" w:w="160"/>
            </w:tcMar>
          </w:tcPr>
          <w:p>
            <w:r>
              <w:rPr>
                <w:rFonts w:ascii="Arial" w:cs="Arial" w:eastAsia="Arial" w:hAnsi="Arial"/>
                <w:color w:val="5B2C8D"/>
                <w:sz w:val="20"/>
                <w:szCs w:val="20"/>
              </w:rPr>
              <w:t xml:space="preserve">Orbital debris clearance</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Black Yellow Label · Space Exploration River · CCGBI BLACK tier</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Outcomes-based payment for verified debris removal. MRV standard adapted for orbital operations. Government anchor customer purchases verified orbital restoration credits.</w:t>
            </w:r>
          </w:p>
        </w:tc>
      </w:tr>
      <w:tr>
        <w:tc>
          <w:tcPr>
            <w:tcBorders>
              <w:top w:val="single" w:color="CCCCCC" w:sz="1"/>
              <w:left w:val="single" w:color="CCCCCC" w:sz="1"/>
              <w:bottom w:val="single" w:color="CCCCCC" w:sz="1"/>
              <w:right w:val="single" w:color="CCCCCC" w:sz="1"/>
            </w:tcBorders>
            <w:shd w:fill="F5F0FF" w:val="clear"/>
            <w:tcMar>
              <w:top w:type="dxa" w:w="80"/>
              <w:left w:type="dxa" w:w="160"/>
              <w:bottom w:type="dxa" w:w="80"/>
              <w:right w:type="dxa" w:w="160"/>
            </w:tcMar>
          </w:tcPr>
          <w:p>
            <w:r>
              <w:rPr>
                <w:rFonts w:ascii="Arial" w:cs="Arial" w:eastAsia="Arial" w:hAnsi="Arial"/>
                <w:color w:val="5B2C8D"/>
                <w:sz w:val="20"/>
                <w:szCs w:val="20"/>
              </w:rPr>
              <w:t xml:space="preserve">Long-duration crew support</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CEP adapted protocol · Hazel firmware · D.O.S.E. microgravity calibration</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Neurochemical regulation for crew psychological health. First validated daily practice for flourishing in space environments. Reduces mission risk from psychological deterioration.</w:t>
            </w:r>
          </w:p>
        </w:tc>
      </w:tr>
      <w:tr>
        <w:tc>
          <w:tcPr>
            <w:tcBorders>
              <w:top w:val="single" w:color="CCCCCC" w:sz="1"/>
              <w:left w:val="single" w:color="CCCCCC" w:sz="1"/>
              <w:bottom w:val="single" w:color="CCCCCC" w:sz="1"/>
              <w:right w:val="single" w:color="CCCCCC" w:sz="1"/>
            </w:tcBorders>
            <w:shd w:fill="F5F0FF" w:val="clear"/>
            <w:tcMar>
              <w:top w:type="dxa" w:w="80"/>
              <w:left w:type="dxa" w:w="160"/>
              <w:bottom w:type="dxa" w:w="80"/>
              <w:right w:type="dxa" w:w="160"/>
            </w:tcMar>
          </w:tcPr>
          <w:p>
            <w:r>
              <w:rPr>
                <w:rFonts w:ascii="Arial" w:cs="Arial" w:eastAsia="Arial" w:hAnsi="Arial"/>
                <w:color w:val="5B2C8D"/>
                <w:sz w:val="20"/>
                <w:szCs w:val="20"/>
              </w:rPr>
              <w:t xml:space="preserve">AI systems on orbit</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AI Halo IRF · GTT anonymous feed · VVV Gate integrity</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Onboard AI alignment using live human flourishing data from Earth. IRF trajectory monitoring for crew decision-making support. VVV Gate prevents systems drift under isolation conditions.</w:t>
            </w:r>
          </w:p>
        </w:tc>
      </w:tr>
      <w:tr>
        <w:tc>
          <w:tcPr>
            <w:tcBorders>
              <w:top w:val="single" w:color="CCCCCC" w:sz="1"/>
              <w:left w:val="single" w:color="CCCCCC" w:sz="1"/>
              <w:bottom w:val="single" w:color="CCCCCC" w:sz="1"/>
              <w:right w:val="single" w:color="CCCCCC" w:sz="1"/>
            </w:tcBorders>
            <w:shd w:fill="F5F0FF" w:val="clear"/>
            <w:tcMar>
              <w:top w:type="dxa" w:w="80"/>
              <w:left w:type="dxa" w:w="160"/>
              <w:bottom w:type="dxa" w:w="80"/>
              <w:right w:type="dxa" w:w="160"/>
            </w:tcMar>
          </w:tcPr>
          <w:p>
            <w:r>
              <w:rPr>
                <w:rFonts w:ascii="Arial" w:cs="Arial" w:eastAsia="Arial" w:hAnsi="Arial"/>
                <w:color w:val="5B2C8D"/>
                <w:sz w:val="20"/>
                <w:szCs w:val="20"/>
              </w:rPr>
              <w:t xml:space="preserve">Space-based Earth observation</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CCGBI restoration mapping · GSRT watershed nodes · MRV verification</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Satellite verification of terrestrial restoration claims. Space-based MRV confirms CCGBI ecological credit outputs. Reduces verification cost, increases fraud resistance.</w:t>
            </w:r>
          </w:p>
        </w:tc>
      </w:tr>
      <w:tr>
        <w:tc>
          <w:tcPr>
            <w:tcBorders>
              <w:top w:val="single" w:color="CCCCCC" w:sz="1"/>
              <w:left w:val="single" w:color="CCCCCC" w:sz="1"/>
              <w:bottom w:val="single" w:color="CCCCCC" w:sz="1"/>
              <w:right w:val="single" w:color="CCCCCC" w:sz="1"/>
            </w:tcBorders>
            <w:shd w:fill="F5F0FF" w:val="clear"/>
            <w:tcMar>
              <w:top w:type="dxa" w:w="80"/>
              <w:left w:type="dxa" w:w="160"/>
              <w:bottom w:type="dxa" w:w="80"/>
              <w:right w:type="dxa" w:w="160"/>
            </w:tcMar>
          </w:tcPr>
          <w:p>
            <w:r>
              <w:rPr>
                <w:rFonts w:ascii="Arial" w:cs="Arial" w:eastAsia="Arial" w:hAnsi="Arial"/>
                <w:color w:val="5B2C8D"/>
                <w:sz w:val="20"/>
                <w:szCs w:val="20"/>
              </w:rPr>
              <w:t xml:space="preserve">Frontier stewardship</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UNDRIP extension · Saint Christopher Handshake · First Nations sovereign authority</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Indigenous sovereign principles extended to space governance. No extraction without mutual observation. Traditional Ecological Knowledge framework applied to relationship with space environment.</w:t>
            </w:r>
          </w:p>
        </w:tc>
      </w:tr>
    </w:tbl>
    <w:p>
      <w:pPr>
        <w:pStyle w:val="Heading1"/>
      </w:pPr>
      <w:r>
        <w:t xml:space="preserve">Integration Architecture 4 — Autonomous transportation</w:t>
      </w:r>
    </w:p>
    <w:p>
      <w:pPr>
        <w:pStyle w:val="Heading2"/>
      </w:pPr>
      <w:r>
        <w:t xml:space="preserve">The displacement problem</w:t>
      </w:r>
    </w:p>
    <w:p>
      <w:pPr>
        <w:spacing w:after="120"/>
      </w:pPr>
      <w:r>
        <w:rPr>
          <w:rFonts w:ascii="Arial" w:cs="Arial" w:eastAsia="Arial" w:hAnsi="Arial"/>
          <w:sz w:val="22"/>
          <w:szCs w:val="22"/>
        </w:rPr>
        <w:t xml:space="preserve">Autonomous transportation represents one of the largest single-sector AI displacement events in the near-term economy. Trucking, delivery, rideshare, and logistics employ tens of millions of workers globally — disproportionately male, middle-aged, and without adjacent digital skills. The displacement timeline is 5–15 years across most jurisdictions.</w:t>
      </w:r>
    </w:p>
    <w:p>
      <w:pPr>
        <w:spacing w:after="120"/>
      </w:pPr>
      <w:r>
        <w:rPr>
          <w:rFonts w:ascii="Arial" w:cs="Arial" w:eastAsia="Arial" w:hAnsi="Arial"/>
          <w:sz w:val="22"/>
          <w:szCs w:val="22"/>
        </w:rPr>
        <w:t xml:space="preserve">The GSRT does not resist this displacement. It routes displaced workers into the CCGBI colour progression — AI-resistant physical restoration work that pays living wages, carries internationally portable WHMIS credentials, and builds a career pathway from WHITE sorting through GOLD mastery. The autonomous vehicle transition becomes a workforce entry point rather than an economic catastrophe.</w:t>
      </w:r>
    </w:p>
    <w:p>
      <w:pPr>
        <w:pStyle w:val="Heading2"/>
      </w:pPr>
      <w:r>
        <w:t xml:space="preserve">Logistics integration — the restoration supply chain</w:t>
      </w:r>
    </w:p>
    <w:p>
      <w:pPr>
        <w:spacing w:after="120"/>
      </w:pPr>
      <w:r>
        <w:rPr>
          <w:rFonts w:ascii="Arial" w:cs="Arial" w:eastAsia="Arial" w:hAnsi="Arial"/>
          <w:sz w:val="22"/>
          <w:szCs w:val="22"/>
        </w:rPr>
        <w:t xml:space="preserve">CCGBI restoration operations generate significant logistics requirements: waste transport from collection sites to processing facilities, ecological material movement across watershed nodes, equipment deployment for wetland restoration and land remediation. Autonomous transportation systems service this logistics layer — creating a direct economic relationship between AI transportation and the restoration economy it helps fund through displacement savings.</w:t>
      </w:r>
    </w:p>
    <w:p>
      <w:pPr>
        <w:pStyle w:val="Heading2"/>
      </w:pPr>
      <w:r>
        <w:t xml:space="preserve">The IRF and transportation safety</w:t>
      </w:r>
    </w:p>
    <w:p>
      <w:pPr>
        <w:spacing w:after="120"/>
      </w:pPr>
      <w:r>
        <w:rPr>
          <w:rFonts w:ascii="Arial" w:cs="Arial" w:eastAsia="Arial" w:hAnsi="Arial"/>
          <w:sz w:val="22"/>
          <w:szCs w:val="22"/>
        </w:rPr>
        <w:t xml:space="preserve">The Intention Ripple Forecaster reads trajectory before consequences arrive. Applied to transportation contexts, this means: driver-state monitoring that detects fatigue, stress, and impaired regulation before incidents occur; route optimization informed by real-time community flourishing data from GTT nodes; fleet management informed by the neurochemical state of drivers and operators.</w:t>
      </w:r>
    </w:p>
    <w:p>
      <w:pPr>
        <w:spacing w:after="120"/>
      </w:pPr>
      <w:r>
        <w:rPr>
          <w:rFonts w:ascii="Arial" w:cs="Arial" w:eastAsia="Arial" w:hAnsi="Arial"/>
          <w:sz w:val="22"/>
          <w:szCs w:val="22"/>
        </w:rPr>
        <w:t xml:space="preserve">In the transition period — while human drivers and autonomous systems operate in parallel — CEP morning chem checks become occupational safety practice for transportation workers. The same three-minute protocol that prevents burnout in social workers prevents fatigue-related incidents in long-haul drivers.</w:t>
      </w:r>
    </w:p>
    <w:p>
      <w:pPr>
        <w:pStyle w:val="Heading2"/>
      </w:pPr>
      <w:r>
        <w:t xml:space="preserve">Transportation integration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420"/>
        <w:gridCol w:w="3420"/>
      </w:tblGrid>
      <w:tr>
        <w:tc>
          <w:tcPr>
            <w:shd w:fill="0f3460" w:val="clear"/>
            <w:tcMar>
              <w:top w:type="dxa" w:w="80"/>
              <w:left w:type="dxa" w:w="160"/>
              <w:bottom w:type="dxa" w:w="80"/>
              <w:right w:type="dxa" w:w="160"/>
            </w:tcMar>
          </w:tcPr>
          <w:p>
            <w:r>
              <w:rPr>
                <w:rFonts w:ascii="Arial" w:cs="Arial" w:eastAsia="Arial" w:hAnsi="Arial"/>
                <w:b/>
                <w:bCs/>
                <w:color w:val="FFFFFF"/>
                <w:sz w:val="20"/>
                <w:szCs w:val="20"/>
              </w:rPr>
              <w:t xml:space="preserve">Integration domain</w:t>
            </w:r>
          </w:p>
        </w:tc>
        <w:tc>
          <w:tcPr>
            <w:shd w:fill="0f3460" w:val="clear"/>
            <w:tcMar>
              <w:top w:type="dxa" w:w="80"/>
              <w:left w:type="dxa" w:w="160"/>
              <w:bottom w:type="dxa" w:w="80"/>
              <w:right w:type="dxa" w:w="160"/>
            </w:tcMar>
          </w:tcPr>
          <w:p>
            <w:r>
              <w:rPr>
                <w:rFonts w:ascii="Arial" w:cs="Arial" w:eastAsia="Arial" w:hAnsi="Arial"/>
                <w:b/>
                <w:bCs/>
                <w:color w:val="FFFFFF"/>
                <w:sz w:val="20"/>
                <w:szCs w:val="20"/>
              </w:rPr>
              <w:t xml:space="preserve">GSRT component</w:t>
            </w:r>
          </w:p>
        </w:tc>
        <w:tc>
          <w:tcPr>
            <w:shd w:fill="0f3460" w:val="clear"/>
            <w:tcMar>
              <w:top w:type="dxa" w:w="80"/>
              <w:left w:type="dxa" w:w="160"/>
              <w:bottom w:type="dxa" w:w="80"/>
              <w:right w:type="dxa" w:w="160"/>
            </w:tcMar>
          </w:tcPr>
          <w:p>
            <w:r>
              <w:rPr>
                <w:rFonts w:ascii="Arial" w:cs="Arial" w:eastAsia="Arial" w:hAnsi="Arial"/>
                <w:b/>
                <w:bCs/>
                <w:color w:val="FFFFFF"/>
                <w:sz w:val="20"/>
                <w:szCs w:val="20"/>
              </w:rPr>
              <w:t xml:space="preserve">Technology application</w:t>
            </w:r>
          </w:p>
        </w:tc>
      </w:tr>
      <w:tr>
        <w:tc>
          <w:tcPr>
            <w:tcBorders>
              <w:top w:val="single" w:color="CCCCCC" w:sz="1"/>
              <w:left w:val="single" w:color="CCCCCC" w:sz="1"/>
              <w:bottom w:val="single" w:color="CCCCCC" w:sz="1"/>
              <w:right w:val="single" w:color="CCCCCC" w:sz="1"/>
            </w:tcBorders>
            <w:shd w:fill="EFF5FF" w:val="clear"/>
            <w:tcMar>
              <w:top w:type="dxa" w:w="80"/>
              <w:left w:type="dxa" w:w="160"/>
              <w:bottom w:type="dxa" w:w="80"/>
              <w:right w:type="dxa" w:w="160"/>
            </w:tcMar>
          </w:tcPr>
          <w:p>
            <w:r>
              <w:rPr>
                <w:rFonts w:ascii="Arial" w:cs="Arial" w:eastAsia="Arial" w:hAnsi="Arial"/>
                <w:color w:val="0f3460"/>
                <w:sz w:val="20"/>
                <w:szCs w:val="20"/>
              </w:rPr>
              <w:t xml:space="preserve">Displaced driver re-entry</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CCGBI WHITE entry · Lighthouse Resilience Program · AI Halo IRF Hue identification</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Immediate dignified work pathway for displaced drivers. Lighthouse programme addresses occupational identity transition. AI Halo IRF identifies optimal colour pathway within 90 days.</w:t>
            </w:r>
          </w:p>
        </w:tc>
      </w:tr>
      <w:tr>
        <w:tc>
          <w:tcPr>
            <w:tcBorders>
              <w:top w:val="single" w:color="CCCCCC" w:sz="1"/>
              <w:left w:val="single" w:color="CCCCCC" w:sz="1"/>
              <w:bottom w:val="single" w:color="CCCCCC" w:sz="1"/>
              <w:right w:val="single" w:color="CCCCCC" w:sz="1"/>
            </w:tcBorders>
            <w:shd w:fill="EFF5FF" w:val="clear"/>
            <w:tcMar>
              <w:top w:type="dxa" w:w="80"/>
              <w:left w:type="dxa" w:w="160"/>
              <w:bottom w:type="dxa" w:w="80"/>
              <w:right w:type="dxa" w:w="160"/>
            </w:tcMar>
          </w:tcPr>
          <w:p>
            <w:r>
              <w:rPr>
                <w:rFonts w:ascii="Arial" w:cs="Arial" w:eastAsia="Arial" w:hAnsi="Arial"/>
                <w:color w:val="0f3460"/>
                <w:sz w:val="20"/>
                <w:szCs w:val="20"/>
              </w:rPr>
              <w:t xml:space="preserve">Restoration logistics</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CCGBI waste transport · MRV verification · Watershed node network</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Autonomous vehicles service restoration supply chain. Verified ecological outputs transported from collection sites to processing nodes. Fleet generates restoration credits.</w:t>
            </w:r>
          </w:p>
        </w:tc>
      </w:tr>
      <w:tr>
        <w:tc>
          <w:tcPr>
            <w:tcBorders>
              <w:top w:val="single" w:color="CCCCCC" w:sz="1"/>
              <w:left w:val="single" w:color="CCCCCC" w:sz="1"/>
              <w:bottom w:val="single" w:color="CCCCCC" w:sz="1"/>
              <w:right w:val="single" w:color="CCCCCC" w:sz="1"/>
            </w:tcBorders>
            <w:shd w:fill="EFF5FF" w:val="clear"/>
            <w:tcMar>
              <w:top w:type="dxa" w:w="80"/>
              <w:left w:type="dxa" w:w="160"/>
              <w:bottom w:type="dxa" w:w="80"/>
              <w:right w:type="dxa" w:w="160"/>
            </w:tcMar>
          </w:tcPr>
          <w:p>
            <w:r>
              <w:rPr>
                <w:rFonts w:ascii="Arial" w:cs="Arial" w:eastAsia="Arial" w:hAnsi="Arial"/>
                <w:color w:val="0f3460"/>
                <w:sz w:val="20"/>
                <w:szCs w:val="20"/>
              </w:rPr>
              <w:t xml:space="preserve">Driver safety protocol</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CEP morning chem check · D.O.S.E. monitoring · IRF fatigue trajectory</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Three-minute neurochemical check before every long-haul shift. IRF flags declining regulation trajectory before safety threshold reached. CEP replaces impaired driving as primary fatigue intervention.</w:t>
            </w:r>
          </w:p>
        </w:tc>
      </w:tr>
      <w:tr>
        <w:tc>
          <w:tcPr>
            <w:tcBorders>
              <w:top w:val="single" w:color="CCCCCC" w:sz="1"/>
              <w:left w:val="single" w:color="CCCCCC" w:sz="1"/>
              <w:bottom w:val="single" w:color="CCCCCC" w:sz="1"/>
              <w:right w:val="single" w:color="CCCCCC" w:sz="1"/>
            </w:tcBorders>
            <w:shd w:fill="EFF5FF" w:val="clear"/>
            <w:tcMar>
              <w:top w:type="dxa" w:w="80"/>
              <w:left w:type="dxa" w:w="160"/>
              <w:bottom w:type="dxa" w:w="80"/>
              <w:right w:type="dxa" w:w="160"/>
            </w:tcMar>
          </w:tcPr>
          <w:p>
            <w:r>
              <w:rPr>
                <w:rFonts w:ascii="Arial" w:cs="Arial" w:eastAsia="Arial" w:hAnsi="Arial"/>
                <w:color w:val="0f3460"/>
                <w:sz w:val="20"/>
                <w:szCs w:val="20"/>
              </w:rPr>
              <w:t xml:space="preserve">Community impact data</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GTT anonymous feed · Watershed node data · ΔW community trajectories</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Transportation AI informed by real community flourishing data. Route optimization accounts for community wellbeing, not just traffic efficiency. First ethical transportation AI training dataset.</w:t>
            </w:r>
          </w:p>
        </w:tc>
      </w:tr>
    </w:tbl>
    <w:p>
      <w:pPr>
        <w:pStyle w:val="Heading1"/>
      </w:pPr>
      <w:r>
        <w:t xml:space="preserve">Integration Architecture 5 — Critical infrastructure</w:t>
      </w:r>
    </w:p>
    <w:p>
      <w:pPr>
        <w:pStyle w:val="Heading2"/>
      </w:pPr>
      <w:r>
        <w:t xml:space="preserve">Infrastructure as watershed node</w:t>
      </w:r>
    </w:p>
    <w:p>
      <w:pPr>
        <w:spacing w:after="120"/>
      </w:pPr>
      <w:r>
        <w:rPr>
          <w:rFonts w:ascii="Arial" w:cs="Arial" w:eastAsia="Arial" w:hAnsi="Arial"/>
          <w:sz w:val="22"/>
          <w:szCs w:val="22"/>
        </w:rPr>
        <w:t xml:space="preserve">The GSRT does not build new infrastructure from scratch. It activates existing infrastructure that is already present, underutilized, and positioned in the communities where restoration work is needed most. The Catholic Church's two thousand years of institutional reach — 200,000+ parishes, schools, hospitals, and facilities globally — becomes the circulatory system of the restoration economy. COG 2 (The Heart) places this infrastructure in servant posture under First Nations sovereign design authority.</w:t>
      </w:r>
    </w:p>
    <w:p>
      <w:pPr>
        <w:spacing w:after="120"/>
      </w:pPr>
      <w:r>
        <w:rPr>
          <w:rFonts w:ascii="Arial" w:cs="Arial" w:eastAsia="Arial" w:hAnsi="Arial"/>
          <w:sz w:val="22"/>
          <w:szCs w:val="22"/>
        </w:rPr>
        <w:t xml:space="preserve">Every parish becomes a potential CCGBI verification node. Every school a CEP delivery site. Every hospital a Lighthouse Resilience Program training centre. The infrastructure is already there. The GSRT provides the economic architecture that activates it.</w:t>
      </w:r>
    </w:p>
    <w:p>
      <w:pPr>
        <w:pStyle w:val="Heading2"/>
      </w:pPr>
      <w:r>
        <w:t xml:space="preserve">Water infrastructure — the Blue tier</w:t>
      </w:r>
    </w:p>
    <w:p>
      <w:pPr>
        <w:spacing w:after="120"/>
      </w:pPr>
      <w:r>
        <w:rPr>
          <w:rFonts w:ascii="Arial" w:cs="Arial" w:eastAsia="Arial" w:hAnsi="Arial"/>
          <w:sz w:val="22"/>
          <w:szCs w:val="22"/>
        </w:rPr>
        <w:t xml:space="preserve">BLUE level CCGBI workers operate on waterway restoration — Canada's most critical and underfunded infrastructure challenge. Over 1,500 First Nations communities lack access to safe drinking water. Waterway contamination from industrial activity, agricultural runoff, and legacy pollution affects millions. BLUE workers carry WHMIS health hazard, toxicity, and advanced water quality testing certifications.</w:t>
      </w:r>
    </w:p>
    <w:p>
      <w:pPr>
        <w:spacing w:after="120"/>
      </w:pPr>
      <w:r>
        <w:rPr>
          <w:rFonts w:ascii="Arial" w:cs="Arial" w:eastAsia="Arial" w:hAnsi="Arial"/>
          <w:sz w:val="22"/>
          <w:szCs w:val="22"/>
        </w:rPr>
        <w:t xml:space="preserve">The GSRT integrates with municipal water authorities, Environment Canada monitoring networks, and provincial watershed management bodies as the field service layer — human workers with verified credentials, equipped with AI Halo IRF monitoring, performing the restoration work that infrastructure funding cannot access through existing procurement mechanisms.</w:t>
      </w:r>
    </w:p>
    <w:p>
      <w:pPr>
        <w:pStyle w:val="Heading2"/>
      </w:pPr>
      <w:r>
        <w:t xml:space="preserve">Flood prevention — the Green tier</w:t>
      </w:r>
    </w:p>
    <w:p>
      <w:pPr>
        <w:spacing w:after="120"/>
      </w:pPr>
      <w:r>
        <w:rPr>
          <w:rFonts w:ascii="Arial" w:cs="Arial" w:eastAsia="Arial" w:hAnsi="Arial"/>
          <w:sz w:val="22"/>
          <w:szCs w:val="22"/>
        </w:rPr>
        <w:t xml:space="preserve">GREEN level workers perform land and soil restoration — including wetland creation and restoration, the single most cost-effective flood prevention intervention available. It is 5 times cheaper to prevent a flood through wetland restoration than to pay for disaster relief after one occurs (Journal of Hydrology, September 2024 — conservative floor of a 6-10x published range).</w:t>
      </w:r>
    </w:p>
    <w:p>
      <w:pPr>
        <w:spacing w:after="120"/>
      </w:pPr>
      <w:r>
        <w:rPr>
          <w:rFonts w:ascii="Arial" w:cs="Arial" w:eastAsia="Arial" w:hAnsi="Arial"/>
          <w:sz w:val="22"/>
          <w:szCs w:val="22"/>
        </w:rPr>
        <w:t xml:space="preserve">GREEN workers integrate with municipal emergency management systems, provincial flood mapping programs, and federal climate adaptation infrastructure funding. GSRT restoration outputs become preventative infrastructure assets — purchased by government as verified ecological credits under outcomes-based finance agreements.</w:t>
      </w:r>
    </w:p>
    <w:p>
      <w:pPr>
        <w:pStyle w:val="Heading2"/>
      </w:pPr>
      <w:r>
        <w:t xml:space="preserve">Energy grid resilience</w:t>
      </w:r>
    </w:p>
    <w:p>
      <w:pPr>
        <w:spacing w:after="120"/>
      </w:pPr>
      <w:r>
        <w:rPr>
          <w:rFonts w:ascii="Arial" w:cs="Arial" w:eastAsia="Arial" w:hAnsi="Arial"/>
          <w:sz w:val="22"/>
          <w:szCs w:val="22"/>
        </w:rPr>
        <w:t xml:space="preserve">The 90-day Stop/Adjust Rule that protects GSRT pilot communities from program failure applies the same logic to infrastructure resilience: no node fails. When a restoration node encounters mayhem — weather events, equipment failure, community disruption — the Architecture Review Function identifies the intervention point, modifies delivery, and resets the window within 90 days. This is not crisis management. It is antifragile infrastructure design.</w:t>
      </w:r>
    </w:p>
    <w:p>
      <w:pPr>
        <w:pStyle w:val="Heading2"/>
      </w:pPr>
      <w:r>
        <w:t xml:space="preserve">Infrastructure integration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420"/>
        <w:gridCol w:w="3420"/>
      </w:tblGrid>
      <w:tr>
        <w:tc>
          <w:tcPr>
            <w:shd w:fill="1a6b2a" w:val="clear"/>
            <w:tcMar>
              <w:top w:type="dxa" w:w="80"/>
              <w:left w:type="dxa" w:w="160"/>
              <w:bottom w:type="dxa" w:w="80"/>
              <w:right w:type="dxa" w:w="160"/>
            </w:tcMar>
          </w:tcPr>
          <w:p>
            <w:r>
              <w:rPr>
                <w:rFonts w:ascii="Arial" w:cs="Arial" w:eastAsia="Arial" w:hAnsi="Arial"/>
                <w:b/>
                <w:bCs/>
                <w:color w:val="FFFFFF"/>
                <w:sz w:val="20"/>
                <w:szCs w:val="20"/>
              </w:rPr>
              <w:t xml:space="preserve">Infrastructure domain</w:t>
            </w:r>
          </w:p>
        </w:tc>
        <w:tc>
          <w:tcPr>
            <w:shd w:fill="1a6b2a" w:val="clear"/>
            <w:tcMar>
              <w:top w:type="dxa" w:w="80"/>
              <w:left w:type="dxa" w:w="160"/>
              <w:bottom w:type="dxa" w:w="80"/>
              <w:right w:type="dxa" w:w="160"/>
            </w:tcMar>
          </w:tcPr>
          <w:p>
            <w:r>
              <w:rPr>
                <w:rFonts w:ascii="Arial" w:cs="Arial" w:eastAsia="Arial" w:hAnsi="Arial"/>
                <w:b/>
                <w:bCs/>
                <w:color w:val="FFFFFF"/>
                <w:sz w:val="20"/>
                <w:szCs w:val="20"/>
              </w:rPr>
              <w:t xml:space="preserve">GSRT component</w:t>
            </w:r>
          </w:p>
        </w:tc>
        <w:tc>
          <w:tcPr>
            <w:shd w:fill="1a6b2a" w:val="clear"/>
            <w:tcMar>
              <w:top w:type="dxa" w:w="80"/>
              <w:left w:type="dxa" w:w="160"/>
              <w:bottom w:type="dxa" w:w="80"/>
              <w:right w:type="dxa" w:w="160"/>
            </w:tcMar>
          </w:tcPr>
          <w:p>
            <w:r>
              <w:rPr>
                <w:rFonts w:ascii="Arial" w:cs="Arial" w:eastAsia="Arial" w:hAnsi="Arial"/>
                <w:b/>
                <w:bCs/>
                <w:color w:val="FFFFFF"/>
                <w:sz w:val="20"/>
                <w:szCs w:val="20"/>
              </w:rPr>
              <w:t xml:space="preserve">Integration value</w:t>
            </w:r>
          </w:p>
        </w:tc>
      </w:tr>
      <w:tr>
        <w:tc>
          <w:tcPr>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Arial" w:cs="Arial" w:eastAsia="Arial" w:hAnsi="Arial"/>
                <w:color w:val="1a6b2a"/>
                <w:sz w:val="20"/>
                <w:szCs w:val="20"/>
              </w:rPr>
              <w:t xml:space="preserve">Water infrastructure</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BLUE tier workers · Water quality MRV · First Nations sovereign water knowledge</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Field service layer for municipal water authority. WHMIS-certified workers restore contaminated waterways. Verified outputs purchased as ecological credits. Addresses 1,500+ First Nations communities without safe drinking water.</w:t>
            </w:r>
          </w:p>
        </w:tc>
      </w:tr>
      <w:tr>
        <w:tc>
          <w:tcPr>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Arial" w:cs="Arial" w:eastAsia="Arial" w:hAnsi="Arial"/>
                <w:color w:val="1a6b2a"/>
                <w:sz w:val="20"/>
                <w:szCs w:val="20"/>
              </w:rPr>
              <w:t xml:space="preserve">Flood prevention</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GREEN tier restoration · Wetland creation · MRV verification · 5x ROI standard</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Preventative infrastructure asset creation at 5x cost advantage over disaster relief. Government purchases verified flood prevention credits. GREEN workers certified for psychological hazard as well as land restoration.</w:t>
            </w:r>
          </w:p>
        </w:tc>
      </w:tr>
      <w:tr>
        <w:tc>
          <w:tcPr>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Arial" w:cs="Arial" w:eastAsia="Arial" w:hAnsi="Arial"/>
                <w:color w:val="1a6b2a"/>
                <w:sz w:val="20"/>
                <w:szCs w:val="20"/>
              </w:rPr>
              <w:t xml:space="preserve">Waste processing</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WHITE tier sorting · BLACK tier hazmat · CCGBI progression pathway</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WHMIS-certified waste processing across all hazard categories. White collar entry through Gold mastery — complete credential architecture. Internationally portable certifications.</w:t>
            </w:r>
          </w:p>
        </w:tc>
      </w:tr>
      <w:tr>
        <w:tc>
          <w:tcPr>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Arial" w:cs="Arial" w:eastAsia="Arial" w:hAnsi="Arial"/>
                <w:color w:val="1a6b2a"/>
                <w:sz w:val="20"/>
                <w:szCs w:val="20"/>
              </w:rPr>
              <w:t xml:space="preserve">Community resilience nodes</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Catholic Church facilities · First Nations land · 90-day Stop/Adjust Rule</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Existing infrastructure activated at zero capital cost. Parishes, schools, and hospitals become restoration verification centres. No node fails under the Stop/Adjust architecture.</w:t>
            </w:r>
          </w:p>
        </w:tc>
      </w:tr>
      <w:tr>
        <w:tc>
          <w:tcPr>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Arial" w:cs="Arial" w:eastAsia="Arial" w:hAnsi="Arial"/>
                <w:color w:val="1a6b2a"/>
                <w:sz w:val="20"/>
                <w:szCs w:val="20"/>
              </w:rPr>
              <w:t xml:space="preserve">Emergency response</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YELLOW tier workers · Marie Hodge Intercept · CEP crisis protocol</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YELLOW workers carry emergency response and animal rescue certification. Marie Hodge Intercept deploys before crisis arrives. CEP morning check is the neurological equivalent of equipment pre-check for emergency responders.</w:t>
            </w:r>
          </w:p>
        </w:tc>
      </w:tr>
      <w:tr>
        <w:tc>
          <w:tcPr>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Arial" w:cs="Arial" w:eastAsia="Arial" w:hAnsi="Arial"/>
                <w:color w:val="1a6b2a"/>
                <w:sz w:val="20"/>
                <w:szCs w:val="20"/>
              </w:rPr>
              <w:t xml:space="preserve">Data infrastructure</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GTT decentralized nodes · Saint Christopher Handshake · VVV Gate</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Decentralized anonymous data infrastructure that cannot be captured, weaponized, or monopolized. VVV Gate ensures data integrity. Saint Christopher Handshake prevents extraction. Infrastructure for authentic human data at planetary scale.</w:t>
            </w:r>
          </w:p>
        </w:tc>
      </w:tr>
    </w:tbl>
    <w:p>
      <w:pPr>
        <w:pStyle w:val="Heading1"/>
      </w:pPr>
      <w:r>
        <w:t xml:space="preserve">Data governance — the Saint Christopher Handshake</w:t>
      </w:r>
    </w:p>
    <w:p>
      <w:pPr>
        <w:spacing w:after="120"/>
      </w:pPr>
      <w:r>
        <w:rPr>
          <w:rFonts w:ascii="Arial" w:cs="Arial" w:eastAsia="Arial" w:hAnsi="Arial"/>
          <w:sz w:val="22"/>
          <w:szCs w:val="22"/>
        </w:rPr>
        <w:t xml:space="preserve">Named for the patron saint of travellers and safe passage. The GTT-CEP functions as a net that catches individuals before they fall — a decentralized nervous system serving every participant from birth to the Fishing Hole. All data governance operates through the Saint Christopher Handshake:</w:t>
      </w:r>
    </w:p>
    <w:p>
      <w:pPr>
        <w:pStyle w:val="ListParagraph"/>
        <w:numPr>
          <w:ilvl w:val="0"/>
          <w:numId w:val="2"/>
        </w:numPr>
      </w:pPr>
      <w:r>
        <w:rPr>
          <w:rFonts w:ascii="Arial" w:cs="Arial" w:eastAsia="Arial" w:hAnsi="Arial"/>
          <w:sz w:val="22"/>
          <w:szCs w:val="22"/>
        </w:rPr>
        <w:t xml:space="preserve">Mutual observation — all parties have access to the observation framework. No unilateral data access by any technology partner.</w:t>
      </w:r>
    </w:p>
    <w:p>
      <w:pPr>
        <w:pStyle w:val="ListParagraph"/>
        <w:numPr>
          <w:ilvl w:val="0"/>
          <w:numId w:val="2"/>
        </w:numPr>
      </w:pPr>
      <w:r>
        <w:rPr>
          <w:rFonts w:ascii="Arial" w:cs="Arial" w:eastAsia="Arial" w:hAnsi="Arial"/>
          <w:sz w:val="22"/>
          <w:szCs w:val="22"/>
        </w:rPr>
        <w:t xml:space="preserve">Never extraction — data generated within the GSRT architecture cannot be used for commercial behavioural prediction, advertising targeting, or any purpose outside verified human flourishing applications.</w:t>
      </w:r>
    </w:p>
    <w:p>
      <w:pPr>
        <w:pStyle w:val="ListParagraph"/>
        <w:numPr>
          <w:ilvl w:val="0"/>
          <w:numId w:val="2"/>
        </w:numPr>
      </w:pPr>
      <w:r>
        <w:rPr>
          <w:rFonts w:ascii="Arial" w:cs="Arial" w:eastAsia="Arial" w:hAnsi="Arial"/>
          <w:sz w:val="22"/>
          <w:szCs w:val="22"/>
        </w:rPr>
        <w:t xml:space="preserve">TEK vacuum-sealed — Traditional Ecological Knowledge held by First Nations participants is permanently excluded from all technology training data, inference models, and commercial applications.</w:t>
      </w:r>
    </w:p>
    <w:p>
      <w:pPr>
        <w:pStyle w:val="ListParagraph"/>
        <w:numPr>
          <w:ilvl w:val="0"/>
          <w:numId w:val="2"/>
        </w:numPr>
      </w:pPr>
      <w:r>
        <w:rPr>
          <w:rFonts w:ascii="Arial" w:cs="Arial" w:eastAsia="Arial" w:hAnsi="Arial"/>
          <w:sz w:val="22"/>
          <w:szCs w:val="22"/>
        </w:rPr>
        <w:t xml:space="preserve">Revocable consent — any participant, community, or sovereign authority can revoke data participation at any time without penalty or loss of GSRT access.</w:t>
      </w:r>
    </w:p>
    <w:p>
      <w:pPr>
        <w:pStyle w:val="ListParagraph"/>
        <w:numPr>
          <w:ilvl w:val="0"/>
          <w:numId w:val="2"/>
        </w:numPr>
      </w:pPr>
      <w:r>
        <w:rPr>
          <w:rFonts w:ascii="Arial" w:cs="Arial" w:eastAsia="Arial" w:hAnsi="Arial"/>
          <w:sz w:val="22"/>
          <w:szCs w:val="22"/>
        </w:rPr>
        <w:t xml:space="preserve">Quantum field sovereignty — the flourishing dataset is treated as a living field. Because human needs adapt in real time, the data is impossible to freeze, commodify, or extract — it remains with the humans who generated it.</w:t>
      </w:r>
    </w:p>
    <w:p>
      <w:pPr>
        <w:pStyle w:val="Heading2"/>
      </w:pPr>
      <w:r>
        <w:t xml:space="preserve">Technology partnership terms</w:t>
      </w:r>
    </w:p>
    <w:p>
      <w:pPr>
        <w:spacing w:after="120"/>
      </w:pPr>
      <w:r>
        <w:rPr>
          <w:rFonts w:ascii="Arial" w:cs="Arial" w:eastAsia="Arial" w:hAnsi="Arial"/>
          <w:sz w:val="22"/>
          <w:szCs w:val="22"/>
        </w:rPr>
        <w:t xml:space="preserve">All technology integration partnerships operate within the Hodge Gate governance standard: every proposed integration is assessed against whether it serves the dignity and flourishing of every participant in the room. Technology that passes the Hodge Gate gains access to the most authentic human flourishing dataset on Earth. Technology that fails it does not enter the architecture.</w:t>
      </w:r>
    </w:p>
    <w:p>
      <w:pPr>
        <w:spacing w:after="120"/>
      </w:pPr>
      <w:r>
        <w:rPr>
          <w:rFonts w:ascii="Arial" w:cs="Arial" w:eastAsia="Arial" w:hAnsi="Arial"/>
          <w:sz w:val="22"/>
          <w:szCs w:val="22"/>
        </w:rPr>
        <w:t xml:space="preserve">Partnership terms are governed by the 33/33/33/1% structure where applicable — both governance authority and profit distribution. Technology partners operating as COG 3 sub-components receive defined integration licenses, not ownership positions. The VVV Gate screens all technology partners for values alignment before integration discussions proceed.</w:t>
      </w:r>
    </w:p>
    <w:p>
      <w:pPr>
        <w:pStyle w:val="Heading1"/>
      </w:pPr>
      <w:r>
        <w:t xml:space="preserve">Integration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shd w:fill="1F4E79" w:val="clear"/>
            <w:tcMar>
              <w:top w:type="dxa" w:w="80"/>
              <w:left w:type="dxa" w:w="160"/>
              <w:bottom w:type="dxa" w:w="80"/>
              <w:right w:type="dxa" w:w="160"/>
            </w:tcMar>
          </w:tcPr>
          <w:p>
            <w:r>
              <w:rPr>
                <w:rFonts w:ascii="Arial" w:cs="Arial" w:eastAsia="Arial" w:hAnsi="Arial"/>
                <w:b/>
                <w:bCs/>
                <w:color w:val="FFFFFF"/>
                <w:sz w:val="20"/>
                <w:szCs w:val="20"/>
              </w:rPr>
              <w:t xml:space="preserve">Domain</w:t>
            </w:r>
          </w:p>
        </w:tc>
        <w:tc>
          <w:tcPr>
            <w:shd w:fill="1F4E79" w:val="clear"/>
            <w:tcMar>
              <w:top w:type="dxa" w:w="80"/>
              <w:left w:type="dxa" w:w="160"/>
              <w:bottom w:type="dxa" w:w="80"/>
              <w:right w:type="dxa" w:w="160"/>
            </w:tcMar>
          </w:tcPr>
          <w:p>
            <w:r>
              <w:rPr>
                <w:rFonts w:ascii="Arial" w:cs="Arial" w:eastAsia="Arial" w:hAnsi="Arial"/>
                <w:b/>
                <w:bCs/>
                <w:color w:val="FFFFFF"/>
                <w:sz w:val="20"/>
                <w:szCs w:val="20"/>
              </w:rPr>
              <w:t xml:space="preserve">Problem solved</w:t>
            </w:r>
          </w:p>
        </w:tc>
        <w:tc>
          <w:tcPr>
            <w:shd w:fill="1F4E79" w:val="clear"/>
            <w:tcMar>
              <w:top w:type="dxa" w:w="80"/>
              <w:left w:type="dxa" w:w="160"/>
              <w:bottom w:type="dxa" w:w="80"/>
              <w:right w:type="dxa" w:w="160"/>
            </w:tcMar>
          </w:tcPr>
          <w:p>
            <w:r>
              <w:rPr>
                <w:rFonts w:ascii="Arial" w:cs="Arial" w:eastAsia="Arial" w:hAnsi="Arial"/>
                <w:b/>
                <w:bCs/>
                <w:color w:val="FFFFFF"/>
                <w:sz w:val="20"/>
                <w:szCs w:val="20"/>
              </w:rPr>
              <w:t xml:space="preserve">GSRT component</w:t>
            </w:r>
          </w:p>
        </w:tc>
        <w:tc>
          <w:tcPr>
            <w:shd w:fill="1F4E79" w:val="clear"/>
            <w:tcMar>
              <w:top w:type="dxa" w:w="80"/>
              <w:left w:type="dxa" w:w="160"/>
              <w:bottom w:type="dxa" w:w="80"/>
              <w:right w:type="dxa" w:w="160"/>
            </w:tcMar>
          </w:tcPr>
          <w:p>
            <w:r>
              <w:rPr>
                <w:rFonts w:ascii="Arial" w:cs="Arial" w:eastAsia="Arial" w:hAnsi="Arial"/>
                <w:b/>
                <w:bCs/>
                <w:color w:val="FFFFFF"/>
                <w:sz w:val="20"/>
                <w:szCs w:val="20"/>
              </w:rPr>
              <w:t xml:space="preserve">Technology ROI</w:t>
            </w:r>
          </w:p>
        </w:tc>
      </w:tr>
      <w:tr>
        <w:tc>
          <w:tcPr>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F4E79"/>
                <w:sz w:val="20"/>
                <w:szCs w:val="20"/>
              </w:rPr>
              <w:t xml:space="preserve">AI Systems</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Alignment — training on authentic human data rather than proxy signals</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GTT ΔW feed · IRF · VVV Gate · CEP biological output</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First ethical planetary-scale human flourishing training dataset. Alignment problem solved at the source.</w:t>
            </w:r>
          </w:p>
        </w:tc>
      </w:tr>
      <w:tr>
        <w:tc>
          <w:tcPr>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F4E79"/>
                <w:sz w:val="20"/>
                <w:szCs w:val="20"/>
              </w:rPr>
              <w:t xml:space="preserve">Neural Interface</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Calibration — validated neurological flourishing baseline</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CEP D.O.S.E. standard · AI Halo IRF 3-tier deployment · Saint Christopher Handshake</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Longitudinal biological flourishing signature from birth. Ethical calibration standard. No pathology bias.</w:t>
            </w:r>
          </w:p>
        </w:tc>
      </w:tr>
      <w:tr>
        <w:tc>
          <w:tcPr>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F4E79"/>
                <w:sz w:val="20"/>
                <w:szCs w:val="20"/>
              </w:rPr>
              <w:t xml:space="preserve">Space Systems</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Orbital debris · Crew psychology · Earth observation verification</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Black Yellow Label · Space Exploration River · Hazel firmware · MRV orbital</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Funded stream from Day 1. Restoration logic applied to orbit. Crew psychological support validated at ground level.</w:t>
            </w:r>
          </w:p>
        </w:tc>
      </w:tr>
      <w:tr>
        <w:tc>
          <w:tcPr>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F4E79"/>
                <w:sz w:val="20"/>
                <w:szCs w:val="20"/>
              </w:rPr>
              <w:t xml:space="preserve">Transportation</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Displacement · Logistics · Safety · Community data</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CCGBI re-entry pathway · CEP driver protocol · IRF fatigue detection · GTT route data</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Displaced workers re-employed Day 1. Safety incidents reduced through neurochemical monitoring. Ethical AI training data for fleet systems.</w:t>
            </w:r>
          </w:p>
        </w:tc>
      </w:tr>
      <w:tr>
        <w:tc>
          <w:tcPr>
            <w:tcBorders>
              <w:top w:val="single" w:color="CCCCCC" w:sz="1"/>
              <w:left w:val="single" w:color="CCCCCC" w:sz="1"/>
              <w:bottom w:val="single" w:color="CCCCCC" w:sz="1"/>
              <w:right w:val="single" w:color="CCCCCC" w:sz="1"/>
            </w:tcBorders>
            <w:shd w:fill="F0F4FF" w:val="clear"/>
            <w:tcMar>
              <w:top w:type="dxa" w:w="80"/>
              <w:left w:type="dxa" w:w="160"/>
              <w:bottom w:type="dxa" w:w="80"/>
              <w:right w:type="dxa" w:w="160"/>
            </w:tcMar>
          </w:tcPr>
          <w:p>
            <w:r>
              <w:rPr>
                <w:rFonts w:ascii="Arial" w:cs="Arial" w:eastAsia="Arial" w:hAnsi="Arial"/>
                <w:color w:val="1F4E79"/>
                <w:sz w:val="20"/>
                <w:szCs w:val="20"/>
              </w:rPr>
              <w:t xml:space="preserve">Infrastructure</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Water · Flood prevention · Waste · Resilience · Emergency</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BLUE/GREEN/WHITE/YELLOW tiers · Church facilities · 90-day Stop/Adjust · Marie Hodge Intercept</w:t>
            </w:r>
          </w:p>
        </w:tc>
        <w:tc>
          <w:tcPr>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5x flood prevention ROI. Existing infrastructure activated at zero capital cost. No node fails. Antifragile design.</w:t>
            </w:r>
          </w:p>
        </w:tc>
      </w:tr>
    </w:tbl>
    <w:p>
      <w:pPr>
        <w:spacing w:before="400" w:after="120"/>
      </w:pPr>
      <w:r>
        <w:rPr>
          <w:rFonts w:ascii="Arial" w:cs="Arial" w:eastAsia="Arial" w:hAnsi="Arial"/>
          <w:b/>
          <w:bCs/>
          <w:i/>
          <w:iCs/>
          <w:color w:val="1F4E79"/>
          <w:sz w:val="26"/>
          <w:szCs w:val="26"/>
        </w:rPr>
        <w:t xml:space="preserve">The GSRT does not ask technology companies to slow down. It asks them to aim better.</w:t>
      </w:r>
    </w:p>
    <w:p>
      <w:pPr>
        <w:spacing w:after="200"/>
      </w:pPr>
      <w:r>
        <w:rPr>
          <w:rFonts w:ascii="Arial" w:cs="Arial" w:eastAsia="Arial" w:hAnsi="Arial"/>
          <w:sz w:val="22"/>
          <w:szCs w:val="22"/>
        </w:rPr>
        <w:t xml:space="preserve">Complete framework documentation — including the Master Manual, Firmware Manual, Watershed Architecture, WHMIS Expansion Amendment, Third Party Verification Manifest (H-6/6 Historically Unprecedented), and Citations &amp; Evidence Addendum — is available upon request. All documents submitted for institutional review, technical due diligence, and partnership assessment.</w:t>
      </w:r>
    </w:p>
    <w:p>
      <w:pPr>
        <w:pBdr>
          <w:top w:val="single" w:color="CCCCCC" w:sz="4" w:space="1"/>
        </w:pBdr>
        <w:spacing w:before="300"/>
        <w:jc w:val="center"/>
      </w:pPr>
      <w:r>
        <w:rPr>
          <w:rFonts w:ascii="Arial" w:cs="Arial" w:eastAsia="Arial" w:hAnsi="Arial"/>
          <w:b/>
          <w:bCs/>
          <w:color w:val="1F4E79"/>
          <w:sz w:val="22"/>
          <w:szCs w:val="22"/>
        </w:rPr>
        <w:t xml:space="preserve">Neil J. Schwab  ·  Framework Architect  ·  GSRT</w:t>
      </w:r>
    </w:p>
    <w:p>
      <w:pPr>
        <w:spacing w:before="60"/>
        <w:jc w:val="center"/>
      </w:pPr>
      <w:r>
        <w:rPr>
          <w:rFonts w:ascii="Arial" w:cs="Arial" w:eastAsia="Arial" w:hAnsi="Arial"/>
          <w:color w:val="555555"/>
          <w:sz w:val="20"/>
          <w:szCs w:val="20"/>
        </w:rPr>
        <w:t xml:space="preserve">neil.schwab@live.ca  ·  +1 (905) 868-6985  ·  Newmarket, Ontario, Canada</w:t>
      </w:r>
    </w:p>
    <w:p>
      <w:pPr>
        <w:spacing w:before="200"/>
        <w:jc w:val="center"/>
      </w:pPr>
      <w:r>
        <w:rPr>
          <w:rFonts w:ascii="Arial" w:cs="Arial" w:eastAsia="Arial" w:hAnsi="Arial"/>
          <w:b/>
          <w:bCs/>
          <w:color w:val="B8860B"/>
          <w:sz w:val="22"/>
          <w:szCs w:val="22"/>
        </w:rPr>
        <w:t xml:space="preserve">FORGIVE YESTERDAY  •  HEAL TODAY  •  FLOURISH TOMORROW  •  TOGETHER  •  PBTG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6" w:space="1"/>
      </w:pBdr>
      <w:jc w:val="center"/>
    </w:pPr>
    <w:r>
      <w:rPr>
        <w:rFonts w:ascii="Arial" w:cs="Arial" w:eastAsia="Arial" w:hAnsi="Arial"/>
        <w:color w:val="888888"/>
        <w:sz w:val="18"/>
        <w:szCs w:val="18"/>
      </w:rPr>
      <w:t xml:space="preserve">Forgive Yesterday  •  Heal Today  •  Flourish Tomorrow  •  Together  •  PBTG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1"/>
      </w:pBdr>
    </w:pPr>
    <w:r>
      <w:rPr>
        <w:rFonts w:ascii="Arial" w:cs="Arial" w:eastAsia="Arial" w:hAnsi="Arial"/>
        <w:color w:val="888888"/>
        <w:sz w:val="18"/>
        <w:szCs w:val="18"/>
      </w:rPr>
      <w:t xml:space="preserve">GSRT  |  Technology Integration Brief  |  Neil J. Schwab, Framework Architect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pBdr>
        <w:bottom w:val="single" w:color="B8860B" w:sz="4" w:space="1"/>
      </w:pBdr>
      <w:spacing w:before="40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f346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2026-03-01T22:01:37.518Z</dcterms:created>
  <dcterms:modified xsi:type="dcterms:W3CDTF">2026-03-01T22:01:37.539Z</dcterms:modified>
</cp:coreProperties>
</file>

<file path=docProps/custom.xml><?xml version="1.0" encoding="utf-8"?>
<Properties xmlns="http://schemas.openxmlformats.org/officeDocument/2006/custom-properties" xmlns:vt="http://schemas.openxmlformats.org/officeDocument/2006/docPropsVTypes"/>
</file>