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color w:val="595959"/>
          <w:sz w:val="20"/>
          <w:szCs w:val="20"/>
        </w:rPr>
        <w:t xml:space="preserve">GLOBAL STEWARDSHIP &amp; RECONCILIATION TRUST (GSRT)</w:t>
      </w:r>
    </w:p>
    <w:p>
      <w:pPr>
        <w:spacing w:after="60"/>
      </w:pPr>
      <w:r>
        <w:rPr>
          <w:b/>
          <w:bCs/>
          <w:color w:val="1F4E79"/>
          <w:sz w:val="44"/>
          <w:szCs w:val="44"/>
        </w:rPr>
        <w:t xml:space="preserve">Citations &amp; Evidence Addendum</w:t>
      </w:r>
    </w:p>
    <w:p>
      <w:pPr>
        <w:spacing w:after="60" w:before="0"/>
      </w:pPr>
      <w:r>
        <w:rPr>
          <w:i/>
          <w:iCs/>
          <w:sz w:val="24"/>
          <w:szCs w:val="24"/>
        </w:rPr>
        <w:t xml:space="preserve">Published sources behind the framework’s key figures</w:t>
      </w:r>
    </w:p>
    <w:p>
      <w:pPr>
        <w:spacing w:after="200" w:before="0"/>
      </w:pPr>
      <w:r>
        <w:rPr>
          <w:color w:val="595959"/>
          <w:sz w:val="20"/>
          <w:szCs w:val="20"/>
        </w:rPr>
        <w:t xml:space="preserve">Neil J. Schwab · Framework Architect · October 2026 · Supersedes the February 2026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800" w:sz="6"/>
              <w:left w:val="single" w:color="A07800" w:sz="24"/>
              <w:bottom w:val="single" w:color="A07800" w:sz="6"/>
              <w:right w:val="single" w:color="A07800" w:sz="6"/>
            </w:tcBorders>
            <w:shd w:fill="FFF2CC" w:color="auto" w:val="clear"/>
            <w:tcMar>
              <w:top w:type="dxa" w:w="120"/>
              <w:left w:type="dxa" w:w="180"/>
              <w:bottom w:type="dxa" w:w="120"/>
              <w:right w:type="dxa" w:w="180"/>
            </w:tcMar>
          </w:tcPr>
          <w:p>
            <w:pPr>
              <w:spacing w:after="60"/>
            </w:pPr>
            <w:r>
              <w:rPr>
                <w:b/>
                <w:bCs/>
                <w:sz w:val="20"/>
                <w:szCs w:val="20"/>
              </w:rPr>
              <w:t xml:space="preserve">How to read this addendum.</w:t>
            </w:r>
            <w:r>
              <w:rPr>
                <w:sz w:val="20"/>
                <w:szCs w:val="20"/>
              </w:rPr>
              <w:t xml:space="preserve"> Each figure below is matched to a published source a reader can find. Where the literature gives a range, this addendum states which end the framework uses. Figures with no published source yet are labelled </w:t>
            </w:r>
            <w:r>
              <w:rPr>
                <w:b/>
                <w:bCs/>
                <w:sz w:val="20"/>
                <w:szCs w:val="20"/>
              </w:rPr>
              <w:t xml:space="preserve">Modelled assumption</w:t>
            </w:r>
            <w:r>
              <w:rPr>
                <w:sz w:val="20"/>
                <w:szCs w:val="20"/>
              </w:rPr>
              <w:t xml:space="preserve">.</w:t>
            </w:r>
          </w:p>
          <w:p>
            <w:pPr>
              <w:spacing w:after="60"/>
            </w:pPr>
            <w:r>
              <w:rPr>
                <w:sz w:val="20"/>
                <w:szCs w:val="20"/>
              </w:rPr>
              <w:t xml:space="preserve">No GSRT, MASH or LRP cohort has run. Every modelled figure will be replaced by measured pilot data. The simulations (Marcus, Laura, the 200-person cohort) are composite, illustrative cases, not field results.</w:t>
            </w:r>
          </w:p>
        </w:tc>
      </w:tr>
    </w:tbl>
    <w:p>
      <w:pPr>
        <w:spacing w:after="60"/>
      </w:pPr>
    </w:p>
    <w:p>
      <w:pPr>
        <w:pStyle w:val="Heading1"/>
        <w:spacing w:after="100" w:before="240"/>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260"/>
        <w:gridCol w:w="24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Claim</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Framework value</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What the published sources show</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Status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Annual public cost of a high-needs person</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$120,000 (Observed)</w:t>
            </w:r>
          </w:p>
          <w:p>
            <w:pPr>
              <w:spacing w:after="40"/>
            </w:pPr>
            <w:r>
              <w:rPr>
                <w:sz w:val="19"/>
                <w:szCs w:val="19"/>
              </w:rPr>
              <w:t xml:space="preserve">$80,000 (Conservative)</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$29,600–$59,000 a year across five Canadian cities; about $56,000–$59,000 in the largest cities [1]</w:t>
            </w:r>
          </w:p>
          <w:p>
            <w:pPr>
              <w:spacing w:after="40"/>
            </w:pPr>
            <w:r>
              <w:rPr>
                <w:sz w:val="19"/>
                <w:szCs w:val="19"/>
              </w:rPr>
              <w:t xml:space="preserve">$72,444 transient and $134,642 chronic, Calgary [3]</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$120,000 fits the chronic, highest-need group only. Add an </w:t>
            </w:r>
            <w:r>
              <w:rPr>
                <w:b/>
                <w:bCs/>
                <w:sz w:val="19"/>
                <w:szCs w:val="19"/>
              </w:rPr>
              <w:t xml:space="preserve">Evidence Floor of $56,000</w:t>
            </w:r>
            <w:r>
              <w:rPr>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Savings from intervening early</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MASH break-even analysis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$9.60 saved per $10 of Housing First for high-needs participants; $21.72 per $10 for the top 10% of service users [2]</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Supports the logic that high users are where savings concentrate.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Land value from greening</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30%</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~6% nearby, peer-reviewed [4]</w:t>
            </w:r>
          </w:p>
          <w:p>
            <w:pPr>
              <w:spacing w:after="40"/>
            </w:pPr>
            <w:r>
              <w:rPr>
                <w:sz w:val="19"/>
                <w:szCs w:val="19"/>
              </w:rPr>
              <w:t xml:space="preserve">17% adjacent lots [5]</w:t>
            </w:r>
          </w:p>
          <w:p>
            <w:pPr>
              <w:spacing w:after="40"/>
            </w:pPr>
            <w:r>
              <w:rPr>
                <w:sz w:val="19"/>
                <w:szCs w:val="19"/>
              </w:rPr>
              <w:t xml:space="preserve">Up to 30%, earlier summary [6]</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30% is the </w:t>
            </w:r>
            <w:r>
              <w:rPr>
                <w:b/>
                <w:bCs/>
                <w:sz w:val="19"/>
                <w:szCs w:val="19"/>
              </w:rPr>
              <w:t xml:space="preserve">upper</w:t>
            </w:r>
            <w:r>
              <w:rPr>
                <w:sz w:val="19"/>
                <w:szCs w:val="19"/>
              </w:rPr>
              <w:t xml:space="preserve"> estimate. Model 6%–17%.</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Flood damage reduction from wetlands</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60%</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29% rural and 38% urban flood-cost reduction from avoiding wetland loss, Ontario [7]</w:t>
            </w:r>
          </w:p>
          <w:p>
            <w:pPr>
              <w:spacing w:after="40"/>
            </w:pPr>
            <w:r>
              <w:rPr>
                <w:sz w:val="19"/>
                <w:szCs w:val="19"/>
              </w:rPr>
              <w:t xml:space="preserve">Up to 60% fewer flood-threat events under maximum rejuvenation, India [8]</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Use the Canadian 29% as the floor.</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Prevention vs. disaster relief</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5× cheaper</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$6 saved per $1 of hazard mitigation grants [9]</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Supported; 5× sits below the published figure.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Worker sick days</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12.5 days a year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Full-time health care employees: 18.0 days a year in 2022 [10]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Conservative; below the published figure.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Worker turnover</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20% a year</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Health care voluntary departures ~1.4% a month, about 17% a year [10]</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Close; slightly above the published rate.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LRP programme return</w:t>
            </w:r>
          </w:p>
        </w:tc>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$8.28 per $1 (Observed)</w:t>
            </w:r>
          </w:p>
          <w:p>
            <w:pPr>
              <w:spacing w:after="40"/>
            </w:pPr>
            <w:r>
              <w:rPr>
                <w:sz w:val="19"/>
                <w:szCs w:val="19"/>
              </w:rPr>
              <w:t xml:space="preserve">$5.52 per $1 (Conservative)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Canadian workplace mental health programmes: median $1.62 per $1 in year one; $2.18 after three years [11]</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b/>
                <w:bCs/>
                <w:sz w:val="19"/>
                <w:szCs w:val="19"/>
              </w:rPr>
              <w:t xml:space="preserve">Modelled assumption</w:t>
            </w:r>
            <w:r>
              <w:rPr>
                <w:sz w:val="19"/>
                <w:szCs w:val="19"/>
              </w:rPr>
              <w:t xml:space="preserve">, well above the published benchmark. Lead with the benchmark.</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VVV multiplier (3.16875)</w:t>
            </w:r>
          </w:p>
        </w:tc>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Designed constant</w:t>
            </w:r>
          </w:p>
        </w:tc>
        <w:tc>
          <w:tcPr>
            <w:tcW w:type="dxa" w:w="32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No published source; it is a design choice</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Not evidence. Pilot calibration pending.</w:t>
            </w:r>
          </w:p>
        </w:tc>
      </w:tr>
    </w:tbl>
    <w:p>
      <w:pPr>
        <w:pStyle w:val="Heading1"/>
        <w:spacing w:after="100" w:before="240"/>
      </w:pPr>
      <w:r>
        <w:t xml:space="preserve">1. The public cost of a high-needs person</w:t>
      </w:r>
    </w:p>
    <w:p>
      <w:pPr>
        <w:spacing w:after="120" w:before="0"/>
      </w:pPr>
      <w:r>
        <w:t xml:space="preserve">The best Canadian evidence puts the annual public cost of a homeless person with mental illness at roughly $56,000 to $59,000 in large cities ($29,600 in Moncton). The framework’s $120,000 is defensible only for the chronic, highest-need group.</w:t>
      </w:r>
    </w:p>
    <w:p>
      <w:pPr>
        <w:pStyle w:val="ListParagraph"/>
        <w:numPr>
          <w:ilvl w:val="0"/>
          <w:numId w:val="2"/>
        </w:numPr>
        <w:spacing w:after="60"/>
      </w:pPr>
      <w:r>
        <w:rPr>
          <w:b/>
          <w:bCs/>
        </w:rPr>
        <w:t xml:space="preserve">Five-city study (strongest source).</w:t>
      </w:r>
      <w:r>
        <w:t xml:space="preserve"> Latimer et al. followed At Home/Chez Soi participants in Vancouver, Winnipeg, Toronto, Montréal and Moncton. Annual service costs (2016 dollars, before medications) were $53,144, $45,565, $58,972, $56,406 and $29,610. Including medications, about $59,000 in the three largest cities. Costs covered health care, police, courts, incarceration, shelter and supportive housing, and income assistance. Individual costs ranged up to $341,535 [1].</w:t>
      </w:r>
    </w:p>
    <w:p>
      <w:pPr>
        <w:pStyle w:val="ListParagraph"/>
        <w:numPr>
          <w:ilvl w:val="0"/>
          <w:numId w:val="2"/>
        </w:numPr>
        <w:spacing w:after="60"/>
      </w:pPr>
      <w:r>
        <w:rPr>
          <w:b/>
          <w:bCs/>
        </w:rPr>
        <w:t xml:space="preserve">Calgary estimates.</w:t>
      </w:r>
      <w:r>
        <w:t xml:space="preserve"> $72,444 a year for a transiently homeless person and $134,642 for a chronically homeless person (2008 figures, cited in Gaetz 2012) [3].</w:t>
      </w:r>
    </w:p>
    <w:p>
      <w:pPr>
        <w:pStyle w:val="ListParagraph"/>
        <w:numPr>
          <w:ilvl w:val="0"/>
          <w:numId w:val="2"/>
        </w:numPr>
        <w:spacing w:after="60"/>
      </w:pPr>
      <w:r>
        <w:rPr>
          <w:b/>
          <w:bCs/>
        </w:rPr>
        <w:t xml:space="preserve">British Columbia.</w:t>
      </w:r>
      <w:r>
        <w:t xml:space="preserve"> $55,000 or more a year per homeless person (Patterson et al. 2008, cited in Gaetz 2012) [3].</w:t>
      </w:r>
    </w:p>
    <w:p>
      <w:pPr>
        <w:pStyle w:val="ListParagraph"/>
        <w:numPr>
          <w:ilvl w:val="0"/>
          <w:numId w:val="2"/>
        </w:numPr>
        <w:spacing w:after="60"/>
      </w:pPr>
      <w:r>
        <w:rPr>
          <w:b/>
          <w:bCs/>
        </w:rPr>
        <w:t xml:space="preserve">Monthly unit costs, Toronto.</w:t>
      </w:r>
      <w:r>
        <w:t xml:space="preserve"> Shelter bed $1,932; provincial jail $4,333; hospital bed $10,900; rent supplement $701 [3].</w:t>
      </w:r>
    </w:p>
    <w:p>
      <w:pPr>
        <w:spacing w:after="120" w:before="80"/>
      </w:pPr>
      <w:r>
        <w:rPr>
          <w:b/>
          <w:bCs/>
        </w:rPr>
        <w:t xml:space="preserve">Recommended three-track reporting.</w:t>
      </w:r>
      <w:r>
        <w:t xml:space="preserve"> Observed Floor $120,000 (chronic, highest-need) · Conservative Floor $80,000 · </w:t>
      </w:r>
      <w:r>
        <w:rPr>
          <w:b/>
          <w:bCs/>
        </w:rPr>
        <w:t xml:space="preserve">Evidence Floor $56,000</w:t>
      </w:r>
      <w:r>
        <w:t xml:space="preserve"> (large-city figure from the five-city study). At the Evidence Floor, 600 MASH participants represent $33.6M a year in public cost; MASH’s full Year 1 cost of $11.25M (600 three-month stays at $7,500 through the 20/40/20/10/10 waterfall) breaks even if it avoids </w:t>
      </w:r>
      <w:r>
        <w:rPr>
          <w:b/>
          <w:bCs/>
        </w:rPr>
        <w:t xml:space="preserve">33.5%</w:t>
      </w:r>
      <w:r>
        <w:t xml:space="preserve"> of that cost; at the $80,000 Conservative Floor, </w:t>
      </w:r>
      <w:r>
        <w:rPr>
          <w:b/>
          <w:bCs/>
        </w:rPr>
        <w:t xml:space="preserve">23.4%</w:t>
      </w:r>
      <w:r>
        <w:t xml:space="preserve">.</w:t>
      </w:r>
    </w:p>
    <w:p>
      <w:pPr>
        <w:pStyle w:val="Heading2"/>
        <w:spacing w:after="80" w:before="200"/>
      </w:pPr>
      <w:r>
        <w:t xml:space="preserve">Why intervention pays where costs concentrate</w:t>
      </w:r>
    </w:p>
    <w:p>
      <w:pPr>
        <w:spacing w:after="120" w:before="0"/>
      </w:pPr>
      <w:r>
        <w:t xml:space="preserve">The At Home/Chez Soi trial found that every $10 spent on Housing First for high-needs participants saved $9.60 in other services, and $21.72 for the 10% of participants with the highest service use at entry [2]. MASH targets the same high-use group, which is why screening for eligibility matters to the savings case.</w:t>
      </w:r>
    </w:p>
    <w:p>
      <w:pPr>
        <w:pStyle w:val="Heading1"/>
        <w:spacing w:after="100" w:before="240"/>
      </w:pPr>
      <w:r>
        <w:t xml:space="preserve">2. Land value from greening</w:t>
      </w:r>
    </w:p>
    <w:p>
      <w:pPr>
        <w:spacing w:after="120" w:before="0"/>
      </w:pPr>
      <w:r>
        <w:t xml:space="preserve">Greening vacant land raises nearby property values, but the peer-reviewed estimate is about 6%, not 30%.</w:t>
      </w:r>
    </w:p>
    <w:p>
      <w:pPr>
        <w:pStyle w:val="ListParagraph"/>
        <w:numPr>
          <w:ilvl w:val="0"/>
          <w:numId w:val="2"/>
        </w:numPr>
        <w:spacing w:after="60"/>
      </w:pPr>
      <w:r>
        <w:rPr>
          <w:b/>
          <w:bCs/>
        </w:rPr>
        <w:t xml:space="preserve">Peer-reviewed.</w:t>
      </w:r>
      <w:r>
        <w:t xml:space="preserve"> Heckert and Mennis (2012) studied Philadelphia LandCare lots with a spatial difference-in-differences design. Nearby residential values rose about 6% more than near untreated lots, with effects strongest in moderately distressed areas [4]. (The 6% converts the paper’s log-price coefficient of 0.056.)</w:t>
      </w:r>
    </w:p>
    <w:p>
      <w:pPr>
        <w:pStyle w:val="ListParagraph"/>
        <w:numPr>
          <w:ilvl w:val="0"/>
          <w:numId w:val="2"/>
        </w:numPr>
        <w:spacing w:after="60"/>
      </w:pPr>
      <w:r>
        <w:rPr>
          <w:b/>
          <w:bCs/>
        </w:rPr>
        <w:t xml:space="preserve">Wharton / Federal Reserve Bank of Boston.</w:t>
      </w:r>
      <w:r>
        <w:t xml:space="preserve"> Wachter, Gillen and Brown (2008) report a 17% gain for homes adjacent to a stabilized, greened lot [5].</w:t>
      </w:r>
    </w:p>
    <w:p>
      <w:pPr>
        <w:pStyle w:val="ListParagraph"/>
        <w:numPr>
          <w:ilvl w:val="0"/>
          <w:numId w:val="2"/>
        </w:numPr>
        <w:spacing w:after="60"/>
      </w:pPr>
      <w:r>
        <w:rPr>
          <w:b/>
          <w:bCs/>
        </w:rPr>
        <w:t xml:space="preserve">Earlier summary.</w:t>
      </w:r>
      <w:r>
        <w:t xml:space="preserve"> A 2005 University of Pennsylvania news summary of Wachter’s work reported a 30% rise for neighbours of greened lots [6].</w:t>
      </w:r>
    </w:p>
    <w:p>
      <w:pPr>
        <w:spacing w:after="120" w:before="0"/>
      </w:pPr>
      <w:r>
        <w:rPr>
          <w:b/>
          <w:bCs/>
        </w:rPr>
        <w:t xml:space="preserve">Correction.</w:t>
      </w:r>
      <w:r>
        <w:t xml:space="preserve"> The February edition called 30% “the floor of the published range” and “a minimum.” It is the highest of the three estimates. Model land value at 6% to 17%; cite 30% only as an upper bound.</w:t>
      </w:r>
    </w:p>
    <w:p>
      <w:pPr>
        <w:pStyle w:val="Heading1"/>
        <w:spacing w:after="100" w:before="240"/>
      </w:pPr>
      <w:r>
        <w:t xml:space="preserve">3. Flood damage and prevention</w:t>
      </w:r>
    </w:p>
    <w:p>
      <w:pPr>
        <w:spacing w:after="120" w:before="0"/>
      </w:pPr>
      <w:r>
        <w:t xml:space="preserve">Canadian evidence supports a 29% to 38% cut in flood costs from keeping wetlands, and U.S. evidence supports about $6 saved for every $1 spent on mitigation.</w:t>
      </w:r>
    </w:p>
    <w:p>
      <w:pPr>
        <w:pStyle w:val="ListParagraph"/>
        <w:numPr>
          <w:ilvl w:val="0"/>
          <w:numId w:val="2"/>
        </w:numPr>
        <w:spacing w:after="60"/>
      </w:pPr>
      <w:r>
        <w:rPr>
          <w:b/>
          <w:bCs/>
        </w:rPr>
        <w:t xml:space="preserve">Ontario (most relevant).</w:t>
      </w:r>
      <w:r>
        <w:t xml:space="preserve"> The Intact Centre on Climate Adaptation (University of Waterloo, 2017) found that avoiding wetland loss would lower the cost of a major flood by 29% in rural areas and 38% in urban areas [7].</w:t>
      </w:r>
    </w:p>
    <w:p>
      <w:pPr>
        <w:pStyle w:val="ListParagraph"/>
        <w:numPr>
          <w:ilvl w:val="0"/>
          <w:numId w:val="2"/>
        </w:numPr>
        <w:spacing w:after="60"/>
      </w:pPr>
      <w:r>
        <w:rPr>
          <w:b/>
          <w:bCs/>
        </w:rPr>
        <w:t xml:space="preserve">India, peer-reviewed.</w:t>
      </w:r>
      <w:r>
        <w:t xml:space="preserve"> Gupta et al. (2024, Journal of Hydrology) modelled a large river catchment. Under maximum wetland rejuvenation, flood-threat events at prominent cities fell by up to 60%; peak streamflow at the catchment outlet fell by 1–2% with existing wetlands and up to 8% with maximum rejuvenation [8].</w:t>
      </w:r>
    </w:p>
    <w:p>
      <w:pPr>
        <w:pStyle w:val="ListParagraph"/>
        <w:numPr>
          <w:ilvl w:val="0"/>
          <w:numId w:val="2"/>
        </w:numPr>
        <w:spacing w:after="60"/>
      </w:pPr>
      <w:r>
        <w:rPr>
          <w:b/>
          <w:bCs/>
        </w:rPr>
        <w:t xml:space="preserve">Prevention return.</w:t>
      </w:r>
      <w:r>
        <w:t xml:space="preserve"> The National Institute of Building Sciences (2019) found that hazard mitigation grants save about $6 for every $1 spent [9]. The framework’s “5× cheaper” sits below this figure.</w:t>
      </w:r>
    </w:p>
    <w:p>
      <w:pPr>
        <w:spacing w:after="120" w:before="0"/>
      </w:pPr>
      <w:r>
        <w:rPr>
          <w:b/>
          <w:bCs/>
        </w:rPr>
        <w:t xml:space="preserve">Correction.</w:t>
      </w:r>
      <w:r>
        <w:t xml:space="preserve"> The February edition used 60% (the top of the range, and a maximum-rejuvenation scenario) while describing it as conservative. Use 29%, the Canadian, cost-based figure, as the floor.</w:t>
      </w:r>
    </w:p>
    <w:p>
      <w:pPr>
        <w:pStyle w:val="Heading1"/>
        <w:spacing w:after="100" w:before="240"/>
      </w:pPr>
      <w:r>
        <w:t xml:space="preserve">4. Worker burnout inputs (LRP)</w:t>
      </w:r>
    </w:p>
    <w:p>
      <w:pPr>
        <w:spacing w:after="120" w:before="0"/>
      </w:pPr>
      <w:r>
        <w:t xml:space="preserve">Two of the LRP inputs are below published Canadian figures, one is close, and two still need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960"/>
        <w:gridCol w:w="19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Input</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Framework value</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Published figure</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9"/>
                <w:szCs w:val="19"/>
              </w:rPr>
              <w:t xml:space="preserve">Status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Sick days per worker</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12.5 a year</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18.0 a year, health care employees, 2022 [10]</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Conservative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Annual turnover</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20%</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~17% a year (1.4% a month) [10]</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Close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Replacement cost</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$93,000 (1.5 × $62,000 salary)</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No source located</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Modelled assumption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Mental injury claim</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$15,000</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No source located</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9"/>
                <w:szCs w:val="19"/>
              </w:rPr>
              <w:t xml:space="preserve">Modelled assumption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Programme return</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$8.28 per $1</w:t>
            </w:r>
          </w:p>
        </w:tc>
        <w:tc>
          <w:tcPr>
            <w:tcW w:type="dxa" w:w="296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Median $1.62 per $1; $2.18 after 3 years [11]</w:t>
            </w:r>
          </w:p>
        </w:tc>
        <w:tc>
          <w:tcPr>
            <w:tcW w:type="dxa" w:w="19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9"/>
                <w:szCs w:val="19"/>
              </w:rPr>
              <w:t xml:space="preserve">Modelled; above benchmark</w:t>
            </w:r>
          </w:p>
        </w:tc>
      </w:tr>
    </w:tbl>
    <w:p>
      <w:pPr>
        <w:spacing w:after="120" w:before="120"/>
      </w:pPr>
      <w:r>
        <w:rPr>
          <w:b/>
          <w:bCs/>
        </w:rPr>
        <w:t xml:space="preserve">Recommendation.</w:t>
      </w:r>
      <w:r>
        <w:t xml:space="preserve"> Present Deloitte’s published $1.62 to $2.18 benchmark first, then the LRP model as a projection the pilot will test. A funder trusts a model more when it is shown beside the real-world benchmark.</w:t>
      </w:r>
    </w:p>
    <w:p>
      <w:pPr>
        <w:pStyle w:val="Heading1"/>
        <w:spacing w:after="100" w:before="240"/>
      </w:pPr>
      <w:r>
        <w:t xml:space="preserve">5. The VVV multiplier</w:t>
      </w:r>
    </w:p>
    <w:p>
      <w:pPr>
        <w:spacing w:after="120" w:before="0"/>
      </w:pPr>
      <w:r>
        <w:t xml:space="preserve">The VVV multiplier (3.16875) is a designed integrity constant, not a statistically derived value and not evidence. It will be calibrated against real data in the pilot. The entropy calculation built on it is an internal illustration. The Kenya landslide case is an illustrative simulation, not a field validation. Taleb’s Antifragile (2012) is a published book, not a peer-reviewed study.</w:t>
      </w:r>
    </w:p>
    <w:p>
      <w:pPr>
        <w:spacing w:after="120" w:before="120"/>
      </w:pPr>
      <w:r>
        <w:rPr>
          <w:i/>
          <w:iCs/>
        </w:rPr>
        <w:t xml:space="preserve">Every change from the February 2026 edition, and the reason for it, is recorded in Appendix B. Appendix A traces each derived figure back to its equation and inputs.</w:t>
      </w:r>
    </w:p>
    <w:p>
      <w:pPr>
        <w:pStyle w:val="Heading1"/>
        <w:spacing w:after="100" w:before="240"/>
      </w:pPr>
      <w:r>
        <w:t xml:space="preserve">References</w:t>
      </w:r>
    </w:p>
    <w:p>
      <w:pPr>
        <w:pStyle w:val="ListParagraph"/>
        <w:numPr>
          <w:ilvl w:val="0"/>
          <w:numId w:val="3"/>
        </w:numPr>
        <w:spacing w:after="40"/>
      </w:pPr>
      <w:r>
        <w:rPr>
          <w:sz w:val="18"/>
          <w:szCs w:val="18"/>
        </w:rPr>
        <w:t xml:space="preserve">Latimer E, et al. Costs of services for homeless people with mental illness in 5 Canadian cities: a large prospective follow-up study. CMAJ Open. 2017;5(3):E576–E585. doi:10.9778/cmajo.20170018. </w:t>
      </w:r>
      <w:hyperlink w:history="1" r:id="rIdbcmc04ysz7wx6b3bwzpkr">
        <w:r>
          <w:rPr>
            <w:rStyle w:val="Hyperlink"/>
            <w:sz w:val="17"/>
            <w:szCs w:val="17"/>
          </w:rPr>
          <w:t xml:space="preserve">https://www.cmajopen.ca/content/5/3/E576</w:t>
        </w:r>
      </w:hyperlink>
    </w:p>
    <w:p>
      <w:pPr>
        <w:pStyle w:val="ListParagraph"/>
        <w:numPr>
          <w:ilvl w:val="0"/>
          <w:numId w:val="3"/>
        </w:numPr>
        <w:spacing w:after="40"/>
      </w:pPr>
      <w:r>
        <w:rPr>
          <w:sz w:val="18"/>
          <w:szCs w:val="18"/>
        </w:rPr>
        <w:t xml:space="preserve">Mental Health Commission of Canada. Cross-Site At Home/Chez Soi Project: Final Report, Executive Summary. </w:t>
      </w:r>
      <w:hyperlink w:history="1" r:id="rId5wee5zbsjtho1qqvfcdiq">
        <w:r>
          <w:rPr>
            <w:rStyle w:val="Hyperlink"/>
            <w:sz w:val="17"/>
            <w:szCs w:val="17"/>
          </w:rPr>
          <w:t xml:space="preserve">https://mentalhealthcommission.ca/wp-content/uploads/2021/09/At2520Home2520Final2520Report2520-2520Exec2520Summary2520-2520ENG_0.pdf</w:t>
        </w:r>
      </w:hyperlink>
    </w:p>
    <w:p>
      <w:pPr>
        <w:pStyle w:val="ListParagraph"/>
        <w:numPr>
          <w:ilvl w:val="0"/>
          <w:numId w:val="3"/>
        </w:numPr>
        <w:spacing w:after="40"/>
      </w:pPr>
      <w:r>
        <w:rPr>
          <w:sz w:val="18"/>
          <w:szCs w:val="18"/>
        </w:rPr>
        <w:t xml:space="preserve">Gaetz S. The Real Cost of Homelessness: Can We Save Money by Doing the Right Thing? Toronto: Canadian Homelessness Research Network Press; 2012. (Cites Calgary Homeless Foundation 2008; Patterson et al. 2008; Shapcott 2007.) </w:t>
      </w:r>
      <w:hyperlink w:history="1" r:id="rIdb1cszx5d6k6tpeujljniq">
        <w:r>
          <w:rPr>
            <w:rStyle w:val="Hyperlink"/>
            <w:sz w:val="17"/>
            <w:szCs w:val="17"/>
          </w:rPr>
          <w:t xml:space="preserve">https://yorkspace.library.yorku.ca/handle/10315/29369</w:t>
        </w:r>
      </w:hyperlink>
    </w:p>
    <w:p>
      <w:pPr>
        <w:pStyle w:val="ListParagraph"/>
        <w:numPr>
          <w:ilvl w:val="0"/>
          <w:numId w:val="3"/>
        </w:numPr>
        <w:spacing w:after="40"/>
      </w:pPr>
      <w:r>
        <w:rPr>
          <w:sz w:val="18"/>
          <w:szCs w:val="18"/>
        </w:rPr>
        <w:t xml:space="preserve">Heckert M, Mennis J. The economic impact of greening urban vacant land: a spatial difference-in-differences analysis. Environment and Planning A. 2012;44:3010–3027. doi:10.1068/a4595. </w:t>
      </w:r>
      <w:hyperlink w:history="1" r:id="rId0lmllwnx1phnlzr4cskdu">
        <w:r>
          <w:rPr>
            <w:rStyle w:val="Hyperlink"/>
            <w:sz w:val="17"/>
            <w:szCs w:val="17"/>
          </w:rPr>
          <w:t xml:space="preserve">https://doi.org/10.1068/a4595</w:t>
        </w:r>
      </w:hyperlink>
    </w:p>
    <w:p>
      <w:pPr>
        <w:pStyle w:val="ListParagraph"/>
        <w:numPr>
          <w:ilvl w:val="0"/>
          <w:numId w:val="3"/>
        </w:numPr>
        <w:spacing w:after="40"/>
      </w:pPr>
      <w:r>
        <w:rPr>
          <w:sz w:val="18"/>
          <w:szCs w:val="18"/>
        </w:rPr>
        <w:t xml:space="preserve">Wachter SM, Gillen KC, Brown CR. Green Investment Strategies. Communities &amp; Banking, Federal Reserve Bank of Boston. Spring 2008. </w:t>
      </w:r>
      <w:hyperlink w:history="1" r:id="rIdmn1krc6ovtuvahepy72tw">
        <w:r>
          <w:rPr>
            <w:rStyle w:val="Hyperlink"/>
            <w:sz w:val="17"/>
            <w:szCs w:val="17"/>
          </w:rPr>
          <w:t xml:space="preserve">https://www.bostonfed.org/-/media/Documents/cb/PDF/Wachter_greening.pdf</w:t>
        </w:r>
      </w:hyperlink>
    </w:p>
    <w:p>
      <w:pPr>
        <w:pStyle w:val="ListParagraph"/>
        <w:numPr>
          <w:ilvl w:val="0"/>
          <w:numId w:val="3"/>
        </w:numPr>
        <w:spacing w:after="40"/>
      </w:pPr>
      <w:r>
        <w:rPr>
          <w:sz w:val="18"/>
          <w:szCs w:val="18"/>
        </w:rPr>
        <w:t xml:space="preserve">University of Pennsylvania (Penn Today). Greening boosts home prices—here’s the proof. February 24, 2005. </w:t>
      </w:r>
      <w:hyperlink w:history="1" r:id="rIda1hj7m4fpvvetbjf0mlys">
        <w:r>
          <w:rPr>
            <w:rStyle w:val="Hyperlink"/>
            <w:sz w:val="17"/>
            <w:szCs w:val="17"/>
          </w:rPr>
          <w:t xml:space="preserve">https://penntoday.upenn.edu/2005-02-24/research/greening-boosts-home-prices%E2%80%94here%E2%80%99s-proof</w:t>
        </w:r>
      </w:hyperlink>
    </w:p>
    <w:p>
      <w:pPr>
        <w:pStyle w:val="ListParagraph"/>
        <w:numPr>
          <w:ilvl w:val="0"/>
          <w:numId w:val="3"/>
        </w:numPr>
        <w:spacing w:after="40"/>
      </w:pPr>
      <w:r>
        <w:rPr>
          <w:sz w:val="18"/>
          <w:szCs w:val="18"/>
        </w:rPr>
        <w:t xml:space="preserve">Intact Centre on Climate Adaptation, University of Waterloo. When the Big Storms Hit: The Role of Wetlands to Limit Urban and Rural Flood Damage. 2017. </w:t>
      </w:r>
      <w:hyperlink w:history="1" r:id="rId4wnbfg46poq52fhg7laqu">
        <w:r>
          <w:rPr>
            <w:rStyle w:val="Hyperlink"/>
            <w:sz w:val="17"/>
            <w:szCs w:val="17"/>
          </w:rPr>
          <w:t xml:space="preserve">https://uwaterloo.ca/water-institute/news/conserving-wetlands-could-save-canadians-millions-flood</w:t>
        </w:r>
      </w:hyperlink>
    </w:p>
    <w:p>
      <w:pPr>
        <w:pStyle w:val="ListParagraph"/>
        <w:numPr>
          <w:ilvl w:val="0"/>
          <w:numId w:val="3"/>
        </w:numPr>
        <w:spacing w:after="40"/>
      </w:pPr>
      <w:r>
        <w:rPr>
          <w:sz w:val="18"/>
          <w:szCs w:val="18"/>
        </w:rPr>
        <w:t xml:space="preserve">Gupta R, et al. Assessing the efficacy of hydro-ecological based wetland management approach for flood resilience of a large river catchment. Journal of Hydrology. 2024;641:131761. </w:t>
      </w:r>
      <w:hyperlink w:history="1" r:id="rIdt_it21juki82lvbzeuhxz">
        <w:r>
          <w:rPr>
            <w:rStyle w:val="Hyperlink"/>
            <w:sz w:val="17"/>
            <w:szCs w:val="17"/>
          </w:rPr>
          <w:t xml:space="preserve">https://ui.adsabs.harvard.edu/abs/2024JHyd..64131761G/abstract</w:t>
        </w:r>
      </w:hyperlink>
    </w:p>
    <w:p>
      <w:pPr>
        <w:pStyle w:val="ListParagraph"/>
        <w:numPr>
          <w:ilvl w:val="0"/>
          <w:numId w:val="3"/>
        </w:numPr>
        <w:spacing w:after="40"/>
      </w:pPr>
      <w:r>
        <w:rPr>
          <w:sz w:val="18"/>
          <w:szCs w:val="18"/>
        </w:rPr>
        <w:t xml:space="preserve">National Institute of Building Sciences. Natural Hazard Mitigation Saves: 2019 Report. Washington, DC; 2019. </w:t>
      </w:r>
      <w:hyperlink w:history="1" r:id="rIdkibrunp6kxksoe282-xyi">
        <w:r>
          <w:rPr>
            <w:rStyle w:val="Hyperlink"/>
            <w:sz w:val="17"/>
            <w:szCs w:val="17"/>
          </w:rPr>
          <w:t xml:space="preserve">https://www.preventionweb.net/publication/natural-hazard-mitigation-saves-2019-report</w:t>
        </w:r>
      </w:hyperlink>
    </w:p>
    <w:p>
      <w:pPr>
        <w:pStyle w:val="ListParagraph"/>
        <w:numPr>
          <w:ilvl w:val="0"/>
          <w:numId w:val="3"/>
        </w:numPr>
        <w:spacing w:after="40"/>
      </w:pPr>
      <w:r>
        <w:rPr>
          <w:sz w:val="18"/>
          <w:szCs w:val="18"/>
        </w:rPr>
        <w:t xml:space="preserve">Statistics Canada. Study: Quality of employment of health care workers during the COVID-19 pandemic. The Daily, August 10, 2023. </w:t>
      </w:r>
      <w:hyperlink w:history="1" r:id="rIdnmezx3waypmrb1o6uftro">
        <w:r>
          <w:rPr>
            <w:rStyle w:val="Hyperlink"/>
            <w:sz w:val="17"/>
            <w:szCs w:val="17"/>
          </w:rPr>
          <w:t xml:space="preserve">https://www150.statcan.gc.ca/n1/daily-quotidien/230810/dq230810a-eng.htm</w:t>
        </w:r>
      </w:hyperlink>
    </w:p>
    <w:p>
      <w:pPr>
        <w:pStyle w:val="ListParagraph"/>
        <w:numPr>
          <w:ilvl w:val="0"/>
          <w:numId w:val="3"/>
        </w:numPr>
        <w:spacing w:after="40"/>
      </w:pPr>
      <w:r>
        <w:rPr>
          <w:sz w:val="18"/>
          <w:szCs w:val="18"/>
        </w:rPr>
        <w:t xml:space="preserve">Deloitte Canada. The ROI in workplace mental health programs: Good for people, good for business. November 2019. </w:t>
      </w:r>
      <w:hyperlink w:history="1" r:id="rIdwg8aq6vz1oyvcjuiw6daz">
        <w:r>
          <w:rPr>
            <w:rStyle w:val="Hyperlink"/>
            <w:sz w:val="17"/>
            <w:szCs w:val="17"/>
          </w:rPr>
          <w:t xml:space="preserve">https://www.insurance-canada.ca/2019/11/11/deloitte-research-workplace-mental-health-return-on-investment/</w:t>
        </w:r>
      </w:hyperlink>
    </w:p>
    <w:p>
      <w:pPr>
        <w:spacing w:after="60"/>
      </w:pPr>
    </w:p>
    <w:p>
      <w:pPr>
        <w:pStyle w:val="Heading1"/>
        <w:pageBreakBefore/>
        <w:spacing w:after="100" w:before="240"/>
      </w:pPr>
      <w:r>
        <w:t xml:space="preserve">Appendix A — Equation Trace</w:t>
      </w:r>
    </w:p>
    <w:p>
      <w:pPr>
        <w:spacing w:after="120" w:before="0"/>
      </w:pPr>
      <w:r>
        <w:t xml:space="preserve">Each figure used in partner documents is recomputed from its equation. The trace checks the arithmetic; the input status shows where published evidence ends and design choices or modelled assumptions begin. An equation can confirm that a result follows from its inputs. It cannot confirm the inputs; only a source or pilot data can.</w:t>
      </w:r>
    </w:p>
    <w:p>
      <w:pPr>
        <w:spacing w:after="120" w:before="0"/>
      </w:pPr>
      <w:r>
        <w:rPr>
          <w:b/>
          <w:bCs/>
          <w:sz w:val="19"/>
          <w:szCs w:val="19"/>
        </w:rPr>
        <w:t xml:space="preserve">Input status key.</w:t>
      </w:r>
      <w:r>
        <w:rPr>
          <w:sz w:val="19"/>
          <w:szCs w:val="19"/>
        </w:rPr>
        <w:t xml:space="preserve"> Sourced = a published reference in this addendum · Design = a locked framework choice · Modelled = an assumption the pilot will test · Unsourced = no basis 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2310"/>
        <w:gridCol w:w="1800"/>
        <w:gridCol w:w="18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6"/>
                <w:szCs w:val="16"/>
              </w:rPr>
              <w:t xml:space="preserve">Figure</w:t>
            </w:r>
          </w:p>
        </w:tc>
        <w:tc>
          <w:tcPr>
            <w:tcW w:type="dxa" w:w="175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6"/>
                <w:szCs w:val="16"/>
              </w:rPr>
              <w:t xml:space="preserve">Equation</w:t>
            </w:r>
          </w:p>
        </w:tc>
        <w:tc>
          <w:tcPr>
            <w:tcW w:type="dxa" w:w="231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6"/>
                <w:szCs w:val="16"/>
              </w:rPr>
              <w:t xml:space="preserve">Inputs and status</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6"/>
                <w:szCs w:val="16"/>
              </w:rPr>
              <w:t xml:space="preserve">Result</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6"/>
                <w:szCs w:val="16"/>
              </w:rPr>
              <w:t xml:space="preserve">Check</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MASH break-even, Evidence Floor</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Gross cost ÷ (participants × cost per person)</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$11.25M (Design) · 600 (Design) · $56,000 (Sourced [1])</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$11.25M ÷ $33.6M = 33.5% (43.1% with returns)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MASH break-even, Conservative</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Same</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$80,000 (Modelled)</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$11.25M ÷ $48.0M = 23.4% (30.2% with returns)</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MASH break-even, Observed</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Same</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$120,000 (Sourced for chronic, highest-need only [3])</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$11.25M ÷ $72.0M = 15.6% (20.1% with returns)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MASH Year 1 cost</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600 × $7,500 ÷ 0.40 (stays are the 40% stream)</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$7,500 per 3-month stay (Design): 90 × $80 + 3 × $60 = $7,380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$4.5M stays → $11.25M gross; about $14.5M with return stays</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Resolved: replaces the unitemized $6.5M</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MASH pilot ask (old documents)</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Sum of budget lines</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Eight budget lines (Design)</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$3,750,000</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b/>
                <w:bCs/>
                <w:sz w:val="16"/>
                <w:szCs w:val="16"/>
              </w:rPr>
              <w:t xml:space="preserve">Old $3.5M ask was $250K short; superseded by $11.25M</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Earthworks wage</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Hours × days × weeks × rate</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6 h · 5 d · 50 wk · $22 (Design, locked)</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1,500 h × $22 = $33,000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Earthworks gross revenue required</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R = Payroll ÷ 0.40</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200 × $33,000 (Design) · 0.40 (Firmware)</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$6.6M ÷ 0.40 = $16.5M</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Justice Floor</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20 + 40 + 20 + 10 + 10</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Firmware (Design)</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100%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Sums correctly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Earthworks vs status quo</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$16.5M vs 200 × cost per person</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$120K / $80K / $56K tracks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$24.0M / $16.0M / $11.2M</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b/>
                <w:bCs/>
                <w:sz w:val="16"/>
                <w:szCs w:val="16"/>
              </w:rPr>
              <w:t xml:space="preserve">At the Evidence Floor Earthworks costs $5.3M more unless contract revenue covers it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LRP current cost</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(T + S + P + H + C) × n</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$10,000 + $800 + $1,500 + $1,000 + $2,000 (Modelled; S, T partly Sourced [10]) · n = 20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$15,300 × 20 = $306,000</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LRP return</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ΔCost ÷ programme cost</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25% reduction (Modelled) · $9,238 (Design)</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$76,500 ÷ $9,238 = 8.28; payback 44.1 days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Arithmetic confirmed; benchmark $1.62–$2.18 [11]</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LRP return, Conservative</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Same, inputs × 2/3</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As above</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$51,000 ÷ $9,238 = 5.52</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Arithmetic confirmed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LRP burnout exposure</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(W × T_r × $93,000) + (S_d × W_d × W) + (A_r × A_c) + M_i</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$93,000 and $15,000 (Unsourced) · A_r = 4 · others Modelled</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$372,000 + $59,500 + $10,000 + $15,000 = $456,500</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b/>
                <w:bCs/>
                <w:sz w:val="16"/>
                <w:szCs w:val="16"/>
              </w:rPr>
              <w:t xml:space="preserve">Reconciled: the written formula lacked × W and A_r = 4. Exposure ceiling only; the 49.4× ratio assumes 100% avoided and is not cited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W score (Marcus)</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(R + B + N + V + M + Gv + Fe + Fm) × Cs</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Sub-scores from a composite case (Modelled) · Cs 0.8 / 1.0 / 1.2 (Design)</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14 × 0.8 = 11.2 → 48 × 1.0 = 48.0 → 67 × 1.2 = 80.4</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Confirmed; </w:t>
            </w:r>
            <w:r>
              <w:rPr>
                <w:b/>
                <w:bCs/>
                <w:sz w:val="16"/>
                <w:szCs w:val="16"/>
              </w:rPr>
              <w:t xml:space="preserve">Years 1–2 use Cs 1.1 and 1.15, outside the locked set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Seed repayment</w:t>
            </w:r>
          </w:p>
        </w:tc>
        <w:tc>
          <w:tcPr>
            <w:tcW w:type="dxa" w:w="17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Return = ROI River × 10</w:t>
            </w:r>
          </w:p>
        </w:tc>
        <w:tc>
          <w:tcPr>
            <w:tcW w:type="dxa" w:w="23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×10 multiplier (Unsourced)</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6"/>
                <w:szCs w:val="16"/>
              </w:rPr>
              <w:t xml:space="preserve">$37M cumulative gross</w:t>
            </w:r>
          </w:p>
        </w:tc>
        <w:tc>
          <w:tcPr>
            <w:tcW w:type="dxa" w:w="18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b/>
                <w:bCs/>
                <w:sz w:val="16"/>
                <w:szCs w:val="16"/>
              </w:rPr>
              <w:t xml:space="preserve">Cannot verify; do not cite until sourced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Sun Vow on-territory capital</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Gross × retention share</w:t>
            </w:r>
          </w:p>
        </w:tc>
        <w:tc>
          <w:tcPr>
            <w:tcW w:type="dxa" w:w="23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$38.5M gross (Unsourced) · 80% / 95% (Design)</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$30.8M vs $36.6M; +$5.8M</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6"/>
                <w:szCs w:val="16"/>
              </w:rPr>
              <w:t xml:space="preserve">Arithmetic confirmed; </w:t>
            </w:r>
            <w:r>
              <w:rPr>
                <w:b/>
                <w:bCs/>
                <w:sz w:val="16"/>
                <w:szCs w:val="16"/>
              </w:rPr>
              <w:t xml:space="preserve">gross needs a headcount basis</w:t>
            </w:r>
          </w:p>
        </w:tc>
      </w:tr>
    </w:tbl>
    <w:p>
      <w:pPr>
        <w:pStyle w:val="Heading1"/>
        <w:pageBreakBefore/>
        <w:spacing w:after="100" w:before="240"/>
      </w:pPr>
      <w:r>
        <w:t xml:space="preserve">Appendix B — Record of Changes</w:t>
      </w:r>
    </w:p>
    <w:p>
      <w:pPr>
        <w:spacing w:after="120" w:before="0"/>
      </w:pPr>
      <w:r>
        <w:t xml:space="preserve">Changes from the February 2026 edition to this October 2026 edition, with the reason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2300"/>
        <w:gridCol w:w="301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7"/>
                <w:szCs w:val="17"/>
              </w:rPr>
              <w:t xml:space="preserve">Item</w:t>
            </w:r>
          </w:p>
        </w:tc>
        <w:tc>
          <w:tcPr>
            <w:tcW w:type="dxa" w:w="235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7"/>
                <w:szCs w:val="17"/>
              </w:rPr>
              <w:t xml:space="preserve">February 2026</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7"/>
                <w:szCs w:val="17"/>
              </w:rPr>
              <w:t xml:space="preserve">October 2026</w:t>
            </w:r>
          </w:p>
        </w:tc>
        <w:tc>
          <w:tcPr>
            <w:tcW w:type="dxa" w:w="301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pPr>
              <w:spacing w:after="40"/>
            </w:pPr>
            <w:r>
              <w:rPr>
                <w:b/>
                <w:bCs/>
                <w:color w:val="FFFFFF"/>
                <w:sz w:val="17"/>
                <w:szCs w:val="17"/>
              </w:rPr>
              <w:t xml:space="preserve">Why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Public cost per person</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$120,000, composite of agency figures with no report or table named</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Three tracks: $120,000 / $80,000 / $56,000 Evidence Floor</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The agency citations could not be traced; the five-city peer-reviewed study gives $56,000–$59,000 in large cities [1]</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Land value from greening</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30%, called “a minimum” and “the floor”</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6%–17% modelled; 30% as upper bound</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The source said “as much as 30%”; peer-reviewed estimate is about 6% [4], Wharton 17% [5]</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Flood reduction</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60%, called conservative</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29% (Ontario) as floor</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60% is the maximum-rejuvenation scenario in one Indian catchment [8]; a Canadian cost study exists [7]</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Prevention return (5×)</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Backed by “UNDRR $6–$10 per $1” (not located)</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Backed by NIBS 2019, $6 per $1</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A primary source was found [9]</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VVV multiplier</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“Verified”; entropy result “verified by Gemini AI system review”</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Designed constant; internal illustration</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An AI review is not a source; the canon labels VVV a designed constant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Kenya case</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“Field-validated”; $2.93B cascade value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Illustrative simulation; figure removed</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The canon register labels Kenya a simulation, never field validation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Per-person swing</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$185,000 swing; “exceeds $2 billion annually”</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Removed</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Adds avoided cost and wages together; $65,000 does not match the locked $33,000 wage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LRP return</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$8.28, “actual savings likely higher,” “H&amp;S Board data with half-value inputs”</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Modelled projection shown beside the $1.62–$2.18 benchmark</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No source located for the H&amp;S Board claim; Deloitte gives the real-world benchmark [11]</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Worker sick days and turnover</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Unsourced</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Sourced to Statistics Canada</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18.0 days and ~17% a year for health care workers [10]</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Antifragility (Taleb)</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“Published &amp; peer-reviewed”</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Published book</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Antifragile (2012) is a book, not a peer-reviewed study</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Secondary sources</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Coldwell Banker Bahamas page; India Water Portal summary</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Replaced by primary studies</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A real-estate blog and a news summary are not evidence for a funder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Closing statement</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“The real numbers will almost certainly be higher”</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Removed</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The pilot decides that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MASH stay and cost</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$7,500 labelled as a 4-month stay</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$7,500 per 3-month stay, with a one-month shadow overlap inside it</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$80/day + $60/month = $7,380 for 90 days; locked by the Framework Architect, 18 Oct 2026</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MASH Year 1 ask</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$3.5M (budget lines sum to $3.75M)</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$11.25M gross (about $14.5M with returns)</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600 stays through the full 20/40/20/10/10 waterfall</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MASH break-even</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19.3% on an unitemized $6.5M</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33.5% Evidence Floor · 23.4% Conservative · 15.6% Observed</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Recomputed on the full waterfall cost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LRP 10-year value</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$918,000 (Mathematics Manual v2, §5.1)</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$765,000 with no ripple factor</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$76,500 × 10 = $765,000; $918,000 assumes an unstated ripple factor of 2</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LRP return wording</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$8.28 “returned”</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$8.28 saved per $1 (gross); $7.28 net</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Net return subtracts the programme cost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Burnout exposure (E_ab)</w:t>
            </w:r>
          </w:p>
        </w:tc>
        <w:tc>
          <w:tcPr>
            <w:tcW w:type="dxa" w:w="23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Formula omitted × workforce on sick days</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(W × T_r × $93,000) + (S_d × W_d × W) + (A_r × A_c) + M_i, with A_r = 4</w:t>
            </w:r>
          </w:p>
        </w:tc>
        <w:tc>
          <w:tcPr>
            <w:tcW w:type="dxa" w:w="301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40"/>
            </w:pPr>
            <w:r>
              <w:rPr>
                <w:sz w:val="17"/>
                <w:szCs w:val="17"/>
              </w:rPr>
              <w:t xml:space="preserve">Reproduces the stated $456,500; exposure ceiling only, never used in ROI</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Edition date</w:t>
            </w:r>
          </w:p>
        </w:tc>
        <w:tc>
          <w:tcPr>
            <w:tcW w:type="dxa" w:w="235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February 2026</w:t>
            </w:r>
          </w:p>
        </w:tc>
        <w:tc>
          <w:tcPr>
            <w:tcW w:type="dxa" w:w="230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October 2026</w:t>
            </w:r>
          </w:p>
        </w:tc>
        <w:tc>
          <w:tcPr>
            <w:tcW w:type="dxa" w:w="3010"/>
            <w:tcBorders>
              <w:top w:val="single" w:color="BFBFBF" w:sz="4"/>
              <w:left w:val="single" w:color="BFBFBF" w:sz="4"/>
              <w:bottom w:val="single" w:color="BFBFBF" w:sz="4"/>
              <w:right w:val="single" w:color="BFBFBF" w:sz="4"/>
            </w:tcBorders>
            <w:shd w:fill="FFFFFF" w:color="auto" w:val="clear"/>
            <w:tcMar>
              <w:top w:type="dxa" w:w="80"/>
              <w:left w:type="dxa" w:w="110"/>
              <w:bottom w:type="dxa" w:w="80"/>
              <w:right w:type="dxa" w:w="110"/>
            </w:tcMar>
          </w:tcPr>
          <w:p>
            <w:pPr>
              <w:spacing w:after="40"/>
            </w:pPr>
            <w:r>
              <w:rPr>
                <w:sz w:val="17"/>
                <w:szCs w:val="17"/>
              </w:rPr>
              <w:t xml:space="preserve">Supersedes all earlier copies</w:t>
            </w:r>
          </w:p>
        </w:tc>
      </w:tr>
    </w:tbl>
    <w:p>
      <w:pPr>
        <w:spacing w:after="120" w:before="0"/>
      </w:pPr>
    </w:p>
    <w:p>
      <w:pPr>
        <w:spacing w:after="120" w:before="0"/>
      </w:pPr>
      <w:r>
        <w:rPr>
          <w:b/>
          <w:bCs/>
          <w:color w:val="1F4E79"/>
          <w:sz w:val="18"/>
          <w:szCs w:val="18"/>
        </w:rPr>
        <w:t xml:space="preserve">FORGIVE YESTERDAY · HEAL TODAY · FLOURISH TOMORROW · TOGETHER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GSRT Citations &amp; Evidence Addendum · Neil J. Schwab · neil.schwab@live.ca ·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52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0"/>
      <w:szCs w:val="30"/>
    </w:rPr>
  </w:style>
  <w:style w:type="paragraph" w:styleId="Heading2">
    <w:name w:val="Heading 2"/>
    <w:basedOn w:val="Normal"/>
    <w:next w:val="Normal"/>
    <w:qFormat/>
    <w:pPr>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cmc04ysz7wx6b3bwzpkr" Type="http://schemas.openxmlformats.org/officeDocument/2006/relationships/hyperlink" Target="https://www.cmajopen.ca/content/5/3/E576" TargetMode="External"/><Relationship Id="rId5wee5zbsjtho1qqvfcdiq" Type="http://schemas.openxmlformats.org/officeDocument/2006/relationships/hyperlink" Target="https://mentalhealthcommission.ca/wp-content/uploads/2021/09/At2520Home2520Final2520Report2520-2520Exec2520Summary2520-2520ENG_0.pdf" TargetMode="External"/><Relationship Id="rIdb1cszx5d6k6tpeujljniq" Type="http://schemas.openxmlformats.org/officeDocument/2006/relationships/hyperlink" Target="https://yorkspace.library.yorku.ca/handle/10315/29369" TargetMode="External"/><Relationship Id="rId0lmllwnx1phnlzr4cskdu" Type="http://schemas.openxmlformats.org/officeDocument/2006/relationships/hyperlink" Target="https://doi.org/10.1068/a4595" TargetMode="External"/><Relationship Id="rIdmn1krc6ovtuvahepy72tw" Type="http://schemas.openxmlformats.org/officeDocument/2006/relationships/hyperlink" Target="https://www.bostonfed.org/-/media/Documents/cb/PDF/Wachter_greening.pdf" TargetMode="External"/><Relationship Id="rIda1hj7m4fpvvetbjf0mlys" Type="http://schemas.openxmlformats.org/officeDocument/2006/relationships/hyperlink" Target="https://penntoday.upenn.edu/2005-02-24/research/greening-boosts-home-prices%E2%80%94here%E2%80%99s-proof" TargetMode="External"/><Relationship Id="rId4wnbfg46poq52fhg7laqu" Type="http://schemas.openxmlformats.org/officeDocument/2006/relationships/hyperlink" Target="https://uwaterloo.ca/water-institute/news/conserving-wetlands-could-save-canadians-millions-flood" TargetMode="External"/><Relationship Id="rIdt_it21juki82lvbzeuhxz" Type="http://schemas.openxmlformats.org/officeDocument/2006/relationships/hyperlink" Target="https://ui.adsabs.harvard.edu/abs/2024JHyd..64131761G/abstract" TargetMode="External"/><Relationship Id="rIdkibrunp6kxksoe282-xyi" Type="http://schemas.openxmlformats.org/officeDocument/2006/relationships/hyperlink" Target="https://www.preventionweb.net/publication/natural-hazard-mitigation-saves-2019-report" TargetMode="External"/><Relationship Id="rIdnmezx3waypmrb1o6uftro" Type="http://schemas.openxmlformats.org/officeDocument/2006/relationships/hyperlink" Target="https://www150.statcan.gc.ca/n1/daily-quotidien/230810/dq230810a-eng.htm" TargetMode="External"/><Relationship Id="rIdwg8aq6vz1oyvcjuiw6daz" Type="http://schemas.openxmlformats.org/officeDocument/2006/relationships/hyperlink" Target="https://www.insurance-canada.ca/2019/11/11/deloitte-research-workplace-mental-health-return-on-investment/"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GSRT Citations &amp; Evidence Addendum (October 2026)</dc:title>
  <dc:creator>Neil J. Schwab</dc:creator>
  <cp:lastModifiedBy>Un-named</cp:lastModifiedBy>
  <cp:revision>1</cp:revision>
  <dcterms:created xsi:type="dcterms:W3CDTF">2026-10-18T07:05:35.968Z</dcterms:created>
  <dcterms:modified xsi:type="dcterms:W3CDTF">2026-10-18T07:05:35.968Z</dcterms:modified>
</cp:coreProperties>
</file>

<file path=docProps/custom.xml><?xml version="1.0" encoding="utf-8"?>
<Properties xmlns="http://schemas.openxmlformats.org/officeDocument/2006/custom-properties" xmlns:vt="http://schemas.openxmlformats.org/officeDocument/2006/docPropsVTypes"/>
</file>