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9A6A1F"/>
          <w:sz w:val="22"/>
          <w:szCs w:val="22"/>
        </w:rPr>
        <w:t xml:space="preserve">H.A.L.O.  ·  Recovery Without Borders</w:t>
      </w:r>
    </w:p>
    <w:p>
      <w:pPr>
        <w:spacing w:after="40"/>
        <w:jc w:val="center"/>
      </w:pPr>
      <w:r>
        <w:rPr>
          <w:b/>
          <w:bCs/>
          <w:color w:val="1F2937"/>
          <w:sz w:val="40"/>
          <w:szCs w:val="40"/>
        </w:rPr>
        <w:t xml:space="preserve">Clinical Foundations of Intake Design</w:t>
      </w:r>
    </w:p>
    <w:p>
      <w:pPr>
        <w:spacing w:after="300"/>
        <w:jc w:val="center"/>
      </w:pPr>
      <w:r>
        <w:rPr>
          <w:i/>
          <w:iCs/>
          <w:color w:val="6B7280"/>
          <w:sz w:val="22"/>
          <w:szCs w:val="22"/>
        </w:rPr>
        <w:t xml:space="preserve">A Reference Briefing for Program Leadership and Referral Partners</w:t>
      </w:r>
    </w:p>
    <w:p>
      <w:pPr>
        <w:spacing w:after="120"/>
      </w:pPr>
      <w:r>
        <w:rPr>
          <w:b/>
          <w:bCs/>
          <w:sz w:val="21"/>
          <w:szCs w:val="21"/>
        </w:rPr>
        <w:t xml:space="preserve">Purpose of this briefing: </w:t>
      </w:r>
    </w:p>
    <w:p>
      <w:pPr>
        <w:spacing w:after="120"/>
      </w:pPr>
      <w:r>
        <w:rPr>
          <w:sz w:val="21"/>
          <w:szCs w:val="21"/>
        </w:rPr>
        <w:t xml:space="preserve">This document summarizes the established clinical and academic models underlying our intake approach — what each model is, what it contributes, and how they function together in a single client encounter. It is intended for program leadership, supervisors, and referral partners who want to understand the reasoning behind the intake script before it is finalized as a standard operating tool, not for direct client use.</w:t>
      </w:r>
    </w:p>
    <w:p>
      <w:pPr>
        <w:spacing w:after="120"/>
      </w:pPr>
      <w:r>
        <w:rPr>
          <w:sz w:val="21"/>
          <w:szCs w:val="21"/>
        </w:rPr>
        <w:t xml:space="preserve"/>
      </w:r>
    </w:p>
    <w:p>
      <w:pPr>
        <w:spacing w:after="120"/>
      </w:pPr>
      <w:r>
        <w:rPr>
          <w:i/>
          <w:iCs/>
          <w:color w:val="6B7280"/>
          <w:sz w:val="19"/>
          <w:szCs w:val="19"/>
        </w:rPr>
        <w:t xml:space="preserve">Prepared by: Neil J. Schwab, Addiction Services Worker Trainee (triOS College IAInt program) · neil.schwab@live.ca · (905) 868-6985</w:t>
      </w:r>
    </w:p>
    <w:p>
      <w:pPr>
        <w:pStyle w:val="Heading1"/>
        <w:pBdr>
          <w:bottom w:val="single" w:color="1F2937" w:sz="8" w:space="4"/>
        </w:pBdr>
        <w:spacing w:after="200" w:before="400"/>
      </w:pPr>
      <w:r>
        <w:rPr>
          <w:b/>
          <w:bCs/>
          <w:color w:val="1F2937"/>
          <w:sz w:val="30"/>
          <w:szCs w:val="30"/>
        </w:rPr>
        <w:t xml:space="preserve">1. Why a Standardized Intake Model Matters</w:t>
      </w:r>
    </w:p>
    <w:p>
      <w:pPr>
        <w:spacing w:after="120"/>
      </w:pPr>
      <w:r>
        <w:rPr>
          <w:sz w:val="21"/>
          <w:szCs w:val="21"/>
        </w:rPr>
        <w:t xml:space="preserve">Ontario's current addiction-services training curricula reference Post-Acute Withdrawal Syndrome (PAWS) as a single line item, without a standardized screening tool or client-facing resource attached to it. There is also no legislated standard intake instrument across the sector. This creates two operational risks for any agency: intake quality varies by individual worker skill rather than agency standard, and clients receive inconsistent first-contact experiences depending on who happens to answer the call.</w:t>
      </w:r>
    </w:p>
    <w:p>
      <w:pPr>
        <w:spacing w:after="120"/>
      </w:pPr>
      <w:r>
        <w:rPr>
          <w:sz w:val="21"/>
          <w:szCs w:val="21"/>
        </w:rPr>
        <w:t xml:space="preserve">The models below are the established, peer-reviewed foundation this agency's intake script is built on. None of them are new or unproven — the goal in bringing them together is consistency, not innovation for its own sake.</w:t>
      </w:r>
    </w:p>
    <w:p>
      <w:pPr>
        <w:pStyle w:val="Heading1"/>
        <w:pBdr>
          <w:bottom w:val="single" w:color="1F2937" w:sz="8" w:space="4"/>
        </w:pBdr>
        <w:spacing w:after="200" w:before="400"/>
      </w:pPr>
      <w:r>
        <w:rPr>
          <w:b/>
          <w:bCs/>
          <w:color w:val="1F2937"/>
          <w:sz w:val="30"/>
          <w:szCs w:val="30"/>
        </w:rPr>
        <w:t xml:space="preserve">2. Motivational Interviewing (MI) — The Foundational Stance</w:t>
      </w:r>
    </w:p>
    <w:p>
      <w:pPr>
        <w:spacing w:after="120"/>
      </w:pPr>
      <w:r>
        <w:rPr>
          <w:sz w:val="21"/>
          <w:szCs w:val="21"/>
        </w:rPr>
        <w:t xml:space="preserve">MI is a counselling style built on drawing out a client's own motivation for change, rather than persuading, warning, or educating them into it. It is the single most evidence-supported communication framework in addiction and behavioural health intake work.</w:t>
      </w:r>
    </w:p>
    <w:p>
      <w:pPr>
        <w:pStyle w:val="Heading2"/>
        <w:spacing w:after="100" w:before="280"/>
      </w:pPr>
      <w:r>
        <w:rPr>
          <w:b/>
          <w:bCs/>
          <w:color w:val="9A6A1F"/>
          <w:sz w:val="24"/>
          <w:szCs w:val="24"/>
        </w:rPr>
        <w:t xml:space="preserve">The Four Elements of MI's "Spirit"</w:t>
      </w:r>
    </w:p>
    <w:p>
      <w:pPr>
        <w:spacing w:after="80"/>
        <w:ind w:left="360"/>
      </w:pPr>
      <w:r>
        <w:rPr>
          <w:sz w:val="21"/>
          <w:szCs w:val="21"/>
        </w:rPr>
        <w:t xml:space="preserve">•  Partnership — worker and client as collaborators, not expert and patient.</w:t>
      </w:r>
    </w:p>
    <w:p>
      <w:pPr>
        <w:spacing w:after="80"/>
        <w:ind w:left="360"/>
      </w:pPr>
      <w:r>
        <w:rPr>
          <w:sz w:val="21"/>
          <w:szCs w:val="21"/>
        </w:rPr>
        <w:t xml:space="preserve">•  Acceptance — unconditional positive regard, accurate empathy, and respect for client autonomy, even when the worker disagrees with a choice.</w:t>
      </w:r>
    </w:p>
    <w:p>
      <w:pPr>
        <w:spacing w:after="80"/>
        <w:ind w:left="360"/>
      </w:pPr>
      <w:r>
        <w:rPr>
          <w:sz w:val="21"/>
          <w:szCs w:val="21"/>
        </w:rPr>
        <w:t xml:space="preserve">•  Compassion — actively promoting the client's welfare, not just remaining neutral.</w:t>
      </w:r>
    </w:p>
    <w:p>
      <w:pPr>
        <w:spacing w:after="80"/>
        <w:ind w:left="360"/>
      </w:pPr>
      <w:r>
        <w:rPr>
          <w:sz w:val="21"/>
          <w:szCs w:val="21"/>
        </w:rPr>
        <w:t xml:space="preserve">•  Empowerment — the client is the expert on themselves; the worker's job is to activate resources the client already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tblGrid>
      <w:tr>
        <w:tc>
          <w:tcPr>
            <w:tcBorders>
              <w:top w:val="single" w:color="9A6A1F" w:sz="4"/>
              <w:left w:val="single" w:color="9A6A1F" w:sz="20"/>
              <w:bottom w:val="single" w:color="9A6A1F" w:sz="4"/>
              <w:right w:val="single" w:color="9A6A1F" w:sz="4"/>
            </w:tcBorders>
            <w:shd w:fill="FBF3E1" w:val="clear"/>
            <w:tcMar>
              <w:top w:type="dxa" w:w="100"/>
              <w:left w:type="dxa" w:w="180"/>
              <w:bottom w:type="dxa" w:w="100"/>
              <w:right w:type="dxa" w:w="180"/>
            </w:tcMar>
          </w:tcPr>
          <w:p>
            <w:pPr>
              <w:spacing w:after="40"/>
            </w:pPr>
            <w:r>
              <w:rPr>
                <w:b/>
                <w:bCs/>
                <w:color w:val="9A6A1F"/>
                <w:sz w:val="19"/>
                <w:szCs w:val="19"/>
              </w:rPr>
              <w:t xml:space="preserve">WHY IT MATTERS OPERATIONALLY</w:t>
            </w:r>
          </w:p>
          <w:p>
            <w:r>
              <w:rPr>
                <w:color w:val="222222"/>
                <w:sz w:val="19"/>
                <w:szCs w:val="19"/>
              </w:rPr>
              <w:t xml:space="preserve">A worker who defaults to explaining and educating instead of asking and reflecting will produce compliant-sounding but shallow engagement. Clients disengage quietly rather than resist openly — the risk is invisible unless supervisors know to watch for it.</w:t>
            </w:r>
          </w:p>
        </w:tc>
      </w:tr>
    </w:tbl>
    <w:p>
      <w:pPr>
        <w:spacing w:after="120"/>
      </w:pPr>
      <w:r>
        <w:rPr>
          <w:sz w:val="21"/>
          <w:szCs w:val="21"/>
        </w:rPr>
        <w:t xml:space="preserve"/>
      </w:r>
    </w:p>
    <w:p>
      <w:pPr>
        <w:pStyle w:val="Heading1"/>
        <w:pBdr>
          <w:bottom w:val="single" w:color="1F2937" w:sz="8" w:space="4"/>
        </w:pBdr>
        <w:spacing w:after="200" w:before="400"/>
      </w:pPr>
      <w:r>
        <w:rPr>
          <w:b/>
          <w:bCs/>
          <w:color w:val="1F2937"/>
          <w:sz w:val="30"/>
          <w:szCs w:val="30"/>
        </w:rPr>
        <w:t xml:space="preserve">3. OARS — The Four Core MI Skills</w:t>
      </w:r>
    </w:p>
    <w:p>
      <w:pPr>
        <w:spacing w:after="120"/>
      </w:pPr>
      <w:r>
        <w:rPr>
          <w:sz w:val="21"/>
          <w:szCs w:val="21"/>
        </w:rPr>
        <w:t xml:space="preserve">OARS is the practical skill set that puts MI's spirit into action moment-to-moment during an intake conversation.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shd w:fill="1F2937" w:val="clear"/>
            <w:tcMar>
              <w:top w:type="dxa" w:w="80"/>
              <w:left w:type="dxa" w:w="120"/>
              <w:bottom w:type="dxa" w:w="80"/>
              <w:right w:type="dxa" w:w="120"/>
            </w:tcMar>
          </w:tcPr>
          <w:p>
            <w:r>
              <w:rPr>
                <w:b/>
                <w:bCs/>
                <w:color w:val="FFFFFF"/>
                <w:sz w:val="19"/>
                <w:szCs w:val="19"/>
              </w:rPr>
              <w:t xml:space="preserve">Skill</w:t>
            </w:r>
          </w:p>
        </w:tc>
        <w:tc>
          <w:tcPr>
            <w:tcW w:type="pct" w:w="80%"/>
            <w:shd w:fill="1F2937" w:val="clear"/>
            <w:tcMar>
              <w:top w:type="dxa" w:w="80"/>
              <w:left w:type="dxa" w:w="120"/>
              <w:bottom w:type="dxa" w:w="80"/>
              <w:right w:type="dxa" w:w="120"/>
            </w:tcMar>
          </w:tcPr>
          <w:p>
            <w:r>
              <w:rPr>
                <w:b/>
                <w:bCs/>
                <w:color w:val="FFFFFF"/>
                <w:sz w:val="19"/>
                <w:szCs w:val="19"/>
              </w:rPr>
              <w:t xml:space="preserve">In Practice</w:t>
            </w:r>
          </w:p>
        </w:tc>
      </w:tr>
      <w:tr>
        <w:tc>
          <w:tcPr>
            <w:tcW w:type="pct" w:w="20%"/>
            <w:tcMar>
              <w:top w:type="dxa" w:w="80"/>
              <w:left w:type="dxa" w:w="120"/>
              <w:bottom w:type="dxa" w:w="80"/>
              <w:right w:type="dxa" w:w="120"/>
            </w:tcMar>
          </w:tcPr>
          <w:p>
            <w:r>
              <w:rPr>
                <w:b/>
                <w:bCs/>
                <w:sz w:val="19"/>
                <w:szCs w:val="19"/>
              </w:rPr>
              <w:t xml:space="preserve">Open Questions</w:t>
            </w:r>
          </w:p>
        </w:tc>
        <w:tc>
          <w:tcPr>
            <w:tcW w:type="pct" w:w="80%"/>
            <w:tcMar>
              <w:top w:type="dxa" w:w="80"/>
              <w:left w:type="dxa" w:w="120"/>
              <w:bottom w:type="dxa" w:w="80"/>
              <w:right w:type="dxa" w:w="120"/>
            </w:tcMar>
          </w:tcPr>
          <w:p>
            <w:r>
              <w:rPr>
                <w:sz w:val="19"/>
                <w:szCs w:val="19"/>
              </w:rPr>
              <w:t xml:space="preserve">Questions that can't be answered in one word, used to draw out the client's own account rather than confirm the worker's assumptions.</w:t>
            </w:r>
          </w:p>
        </w:tc>
      </w:tr>
      <w:tr>
        <w:tc>
          <w:tcPr>
            <w:tcW w:type="pct" w:w="20%"/>
            <w:tcMar>
              <w:top w:type="dxa" w:w="80"/>
              <w:left w:type="dxa" w:w="120"/>
              <w:bottom w:type="dxa" w:w="80"/>
              <w:right w:type="dxa" w:w="120"/>
            </w:tcMar>
          </w:tcPr>
          <w:p>
            <w:r>
              <w:rPr>
                <w:b/>
                <w:bCs/>
                <w:sz w:val="19"/>
                <w:szCs w:val="19"/>
              </w:rPr>
              <w:t xml:space="preserve">Affirmations</w:t>
            </w:r>
          </w:p>
        </w:tc>
        <w:tc>
          <w:tcPr>
            <w:tcW w:type="pct" w:w="80%"/>
            <w:tcMar>
              <w:top w:type="dxa" w:w="80"/>
              <w:left w:type="dxa" w:w="120"/>
              <w:bottom w:type="dxa" w:w="80"/>
              <w:right w:type="dxa" w:w="120"/>
            </w:tcMar>
          </w:tcPr>
          <w:p>
            <w:r>
              <w:rPr>
                <w:sz w:val="19"/>
                <w:szCs w:val="19"/>
              </w:rPr>
              <w:t xml:space="preserve">Specific, genuine recognition of something the client did or said — tied to an observed action, never generic praise.</w:t>
            </w:r>
          </w:p>
        </w:tc>
      </w:tr>
      <w:tr>
        <w:tc>
          <w:tcPr>
            <w:tcW w:type="pct" w:w="20%"/>
            <w:tcMar>
              <w:top w:type="dxa" w:w="80"/>
              <w:left w:type="dxa" w:w="120"/>
              <w:bottom w:type="dxa" w:w="80"/>
              <w:right w:type="dxa" w:w="120"/>
            </w:tcMar>
          </w:tcPr>
          <w:p>
            <w:r>
              <w:rPr>
                <w:b/>
                <w:bCs/>
                <w:sz w:val="19"/>
                <w:szCs w:val="19"/>
              </w:rPr>
              <w:t xml:space="preserve">Reflections</w:t>
            </w:r>
          </w:p>
        </w:tc>
        <w:tc>
          <w:tcPr>
            <w:tcW w:type="pct" w:w="80%"/>
            <w:tcMar>
              <w:top w:type="dxa" w:w="80"/>
              <w:left w:type="dxa" w:w="120"/>
              <w:bottom w:type="dxa" w:w="80"/>
              <w:right w:type="dxa" w:w="120"/>
            </w:tcMar>
          </w:tcPr>
          <w:p>
            <w:r>
              <w:rPr>
                <w:sz w:val="19"/>
                <w:szCs w:val="19"/>
              </w:rPr>
              <w:t xml:space="preserve">Repeating or rephrasing the client's own words back to them before adding new content. This is the skill most commonly skipped under time pressure, and the one with the largest impact on whether a client keeps generating their own insight or goes passive.</w:t>
            </w:r>
          </w:p>
        </w:tc>
      </w:tr>
      <w:tr>
        <w:tc>
          <w:tcPr>
            <w:tcW w:type="pct" w:w="20%"/>
            <w:tcMar>
              <w:top w:type="dxa" w:w="80"/>
              <w:left w:type="dxa" w:w="120"/>
              <w:bottom w:type="dxa" w:w="80"/>
              <w:right w:type="dxa" w:w="120"/>
            </w:tcMar>
          </w:tcPr>
          <w:p>
            <w:r>
              <w:rPr>
                <w:b/>
                <w:bCs/>
                <w:sz w:val="19"/>
                <w:szCs w:val="19"/>
              </w:rPr>
              <w:t xml:space="preserve">Summaries</w:t>
            </w:r>
          </w:p>
        </w:tc>
        <w:tc>
          <w:tcPr>
            <w:tcW w:type="pct" w:w="80%"/>
            <w:tcMar>
              <w:top w:type="dxa" w:w="80"/>
              <w:left w:type="dxa" w:w="120"/>
              <w:bottom w:type="dxa" w:w="80"/>
              <w:right w:type="dxa" w:w="120"/>
            </w:tcMar>
          </w:tcPr>
          <w:p>
            <w:r>
              <w:rPr>
                <w:sz w:val="19"/>
                <w:szCs w:val="19"/>
              </w:rPr>
              <w:t xml:space="preserve">Periodically pulling together what's been said so far in the client's language, to check understanding and signal what's been heard.</w:t>
            </w:r>
          </w:p>
        </w:tc>
      </w:tr>
    </w:tbl>
    <w:p>
      <w:pPr>
        <w:spacing w:after="120"/>
      </w:pPr>
      <w:r>
        <w:rPr>
          <w:sz w:val="21"/>
          <w:szCs w:val="21"/>
        </w:rPr>
        <w:t xml:space="preserve"/>
      </w:r>
    </w:p>
    <w:p>
      <w:pPr>
        <w:pStyle w:val="Heading1"/>
        <w:pBdr>
          <w:bottom w:val="single" w:color="1F2937" w:sz="8" w:space="4"/>
        </w:pBdr>
        <w:spacing w:after="200" w:before="400"/>
      </w:pPr>
      <w:r>
        <w:rPr>
          <w:b/>
          <w:bCs/>
          <w:color w:val="1F2937"/>
          <w:sz w:val="30"/>
          <w:szCs w:val="30"/>
        </w:rPr>
        <w:t xml:space="preserve">4. CENAPS — Relapse Prevention Framework</w:t>
      </w:r>
    </w:p>
    <w:p>
      <w:pPr>
        <w:spacing w:after="120"/>
      </w:pPr>
      <w:r>
        <w:rPr>
          <w:sz w:val="21"/>
          <w:szCs w:val="21"/>
        </w:rPr>
        <w:t xml:space="preserve">Developed by Terence Gorski, CENAPS (Center for Applied Sciences) provides a structured model of the warning signs and behavioural stages that precede relapse, allowing them to be identified and interrupted before relapse occurs rather than only addressed after the fact.</w:t>
      </w:r>
    </w:p>
    <w:p>
      <w:pPr>
        <w:spacing w:after="80"/>
        <w:ind w:left="360"/>
      </w:pPr>
      <w:r>
        <w:rPr>
          <w:sz w:val="21"/>
          <w:szCs w:val="21"/>
        </w:rPr>
        <w:t xml:space="preserve">•  Maps relapse as a gradual process with identifiable early warning signs, not a single sudden event.</w:t>
      </w:r>
    </w:p>
    <w:p>
      <w:pPr>
        <w:spacing w:after="80"/>
        <w:ind w:left="360"/>
      </w:pPr>
      <w:r>
        <w:rPr>
          <w:sz w:val="21"/>
          <w:szCs w:val="21"/>
        </w:rPr>
        <w:t xml:space="preserve">•  Gives workers and clients a shared vocabulary for naming where in the process a client currently is.</w:t>
      </w:r>
    </w:p>
    <w:p>
      <w:pPr>
        <w:spacing w:after="80"/>
        <w:ind w:left="360"/>
      </w:pPr>
      <w:r>
        <w:rPr>
          <w:sz w:val="21"/>
          <w:szCs w:val="21"/>
        </w:rPr>
        <w:t xml:space="preserve">•  Forms the clinical basis for reframing a relapse, if it happens, as diagnostic information rather than a moral failure — a framing directly tied to reduced shame and improved re-engagement rates.</w:t>
      </w:r>
    </w:p>
    <w:p>
      <w:pPr>
        <w:pStyle w:val="Heading1"/>
        <w:pBdr>
          <w:bottom w:val="single" w:color="1F2937" w:sz="8" w:space="4"/>
        </w:pBdr>
        <w:spacing w:after="200" w:before="400"/>
      </w:pPr>
      <w:r>
        <w:rPr>
          <w:b/>
          <w:bCs/>
          <w:color w:val="1F2937"/>
          <w:sz w:val="30"/>
          <w:szCs w:val="30"/>
        </w:rPr>
        <w:t xml:space="preserve">5. Post-Acute Withdrawal Syndrome (PAWS)</w:t>
      </w:r>
    </w:p>
    <w:p>
      <w:pPr>
        <w:spacing w:after="120"/>
      </w:pPr>
      <w:r>
        <w:rPr>
          <w:sz w:val="21"/>
          <w:szCs w:val="21"/>
        </w:rPr>
        <w:t xml:space="preserve">PAWS refers to the extended period — typically weeks to many months, depending on substance and individual factors — of neurological and psychological symptoms that follow acute physical withdrawal: mood instability, disrupted sleep, cognitive fog, and cravings that can resurface without an obvious external trigger.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tblGrid>
      <w:tr>
        <w:tc>
          <w:tcPr>
            <w:tcBorders>
              <w:top w:val="single" w:color="1F2937" w:sz="4"/>
              <w:left w:val="single" w:color="1F2937" w:sz="20"/>
              <w:bottom w:val="single" w:color="1F2937" w:sz="4"/>
              <w:right w:val="single" w:color="1F2937" w:sz="4"/>
            </w:tcBorders>
            <w:shd w:fill="EEF1F5" w:val="clear"/>
            <w:tcMar>
              <w:top w:type="dxa" w:w="100"/>
              <w:left w:type="dxa" w:w="180"/>
              <w:bottom w:type="dxa" w:w="100"/>
              <w:right w:type="dxa" w:w="180"/>
            </w:tcMar>
          </w:tcPr>
          <w:p>
            <w:pPr>
              <w:spacing w:after="40"/>
            </w:pPr>
            <w:r>
              <w:rPr>
                <w:b/>
                <w:bCs/>
                <w:color w:val="1F2937"/>
                <w:sz w:val="19"/>
                <w:szCs w:val="19"/>
              </w:rPr>
              <w:t xml:space="preserve">THE OPERATIONAL GAP THIS ADDRESSES</w:t>
            </w:r>
          </w:p>
          <w:p>
            <w:r>
              <w:rPr>
                <w:color w:val="222222"/>
                <w:sz w:val="19"/>
                <w:szCs w:val="19"/>
              </w:rPr>
              <w:t xml:space="preserve">Most intake and discharge processes address acute withdrawal but not PAWS specifically, leaving clients without language for symptoms that appear well after the point most programs consider a client "stabilized." A client who doesn't know PAWS is normal and time-limited is significantly more likely to interpret a bad week as proof that treatment isn't working.</w:t>
            </w:r>
          </w:p>
        </w:tc>
      </w:tr>
    </w:tbl>
    <w:p>
      <w:pPr>
        <w:spacing w:after="120"/>
      </w:pPr>
      <w:r>
        <w:rPr>
          <w:sz w:val="21"/>
          <w:szCs w:val="21"/>
        </w:rPr>
        <w:t xml:space="preserve"/>
      </w:r>
    </w:p>
    <w:p>
      <w:r>
        <w:br w:type="page"/>
      </w:r>
    </w:p>
    <w:p>
      <w:pPr>
        <w:pStyle w:val="Heading1"/>
        <w:pBdr>
          <w:bottom w:val="single" w:color="1F2937" w:sz="8" w:space="4"/>
        </w:pBdr>
        <w:spacing w:after="200" w:before="400"/>
      </w:pPr>
      <w:r>
        <w:rPr>
          <w:b/>
          <w:bCs/>
          <w:color w:val="1F2937"/>
          <w:sz w:val="30"/>
          <w:szCs w:val="30"/>
        </w:rPr>
        <w:t xml:space="preserve">6. How These Models Function Together in a Single Intake</w:t>
      </w:r>
    </w:p>
    <w:p>
      <w:pPr>
        <w:spacing w:after="120"/>
      </w:pPr>
      <w:r>
        <w:rPr>
          <w:sz w:val="21"/>
          <w:szCs w:val="21"/>
        </w:rPr>
        <w:t xml:space="preserve">No single model above is sufficient on its own — each addresses a different layer of the same encounter. The table below shows how they sequence in practice.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1F2937" w:val="clear"/>
            <w:tcMar>
              <w:top w:type="dxa" w:w="80"/>
              <w:left w:type="dxa" w:w="120"/>
              <w:bottom w:type="dxa" w:w="80"/>
              <w:right w:type="dxa" w:w="120"/>
            </w:tcMar>
          </w:tcPr>
          <w:p>
            <w:r>
              <w:rPr>
                <w:b/>
                <w:bCs/>
                <w:color w:val="FFFFFF"/>
                <w:sz w:val="19"/>
                <w:szCs w:val="19"/>
              </w:rPr>
              <w:t xml:space="preserve">Intake Phase</w:t>
            </w:r>
          </w:p>
        </w:tc>
        <w:tc>
          <w:tcPr>
            <w:tcW w:type="pct" w:w="36%"/>
            <w:shd w:fill="1F2937" w:val="clear"/>
            <w:tcMar>
              <w:top w:type="dxa" w:w="80"/>
              <w:left w:type="dxa" w:w="120"/>
              <w:bottom w:type="dxa" w:w="80"/>
              <w:right w:type="dxa" w:w="120"/>
            </w:tcMar>
          </w:tcPr>
          <w:p>
            <w:r>
              <w:rPr>
                <w:b/>
                <w:bCs/>
                <w:color w:val="FFFFFF"/>
                <w:sz w:val="19"/>
                <w:szCs w:val="19"/>
              </w:rPr>
              <w:t xml:space="preserve">Governing Model</w:t>
            </w:r>
          </w:p>
        </w:tc>
        <w:tc>
          <w:tcPr>
            <w:tcW w:type="pct" w:w="36%"/>
            <w:shd w:fill="1F2937" w:val="clear"/>
            <w:tcMar>
              <w:top w:type="dxa" w:w="80"/>
              <w:left w:type="dxa" w:w="120"/>
              <w:bottom w:type="dxa" w:w="80"/>
              <w:right w:type="dxa" w:w="120"/>
            </w:tcMar>
          </w:tcPr>
          <w:p>
            <w:r>
              <w:rPr>
                <w:b/>
                <w:bCs/>
                <w:color w:val="FFFFFF"/>
                <w:sz w:val="19"/>
                <w:szCs w:val="19"/>
              </w:rPr>
              <w:t xml:space="preserve">What It Produces</w:t>
            </w:r>
          </w:p>
        </w:tc>
      </w:tr>
      <w:tr>
        <w:tc>
          <w:tcPr>
            <w:tcW w:type="pct" w:w="28%"/>
            <w:tcMar>
              <w:top w:type="dxa" w:w="80"/>
              <w:left w:type="dxa" w:w="120"/>
              <w:bottom w:type="dxa" w:w="80"/>
              <w:right w:type="dxa" w:w="120"/>
            </w:tcMar>
          </w:tcPr>
          <w:p>
            <w:r>
              <w:rPr>
                <w:b/>
                <w:bCs/>
                <w:sz w:val="19"/>
                <w:szCs w:val="19"/>
              </w:rPr>
              <w:t xml:space="preserve">Opening / rapport</w:t>
            </w:r>
          </w:p>
        </w:tc>
        <w:tc>
          <w:tcPr>
            <w:tcW w:type="pct" w:w="36%"/>
            <w:tcMar>
              <w:top w:type="dxa" w:w="80"/>
              <w:left w:type="dxa" w:w="120"/>
              <w:bottom w:type="dxa" w:w="80"/>
              <w:right w:type="dxa" w:w="120"/>
            </w:tcMar>
          </w:tcPr>
          <w:p>
            <w:r>
              <w:rPr>
                <w:sz w:val="19"/>
                <w:szCs w:val="19"/>
              </w:rPr>
              <w:t xml:space="preserve">MI spirit (Partnership, Acceptance)</w:t>
            </w:r>
          </w:p>
        </w:tc>
        <w:tc>
          <w:tcPr>
            <w:tcW w:type="pct" w:w="36%"/>
            <w:tcMar>
              <w:top w:type="dxa" w:w="80"/>
              <w:left w:type="dxa" w:w="120"/>
              <w:bottom w:type="dxa" w:w="80"/>
              <w:right w:type="dxa" w:w="120"/>
            </w:tcMar>
          </w:tcPr>
          <w:p>
            <w:r>
              <w:rPr>
                <w:sz w:val="19"/>
                <w:szCs w:val="19"/>
              </w:rPr>
              <w:t xml:space="preserve">Lowered guardedness; client willing to disclose.</w:t>
            </w:r>
          </w:p>
        </w:tc>
      </w:tr>
      <w:tr>
        <w:tc>
          <w:tcPr>
            <w:tcW w:type="pct" w:w="28%"/>
            <w:tcMar>
              <w:top w:type="dxa" w:w="80"/>
              <w:left w:type="dxa" w:w="120"/>
              <w:bottom w:type="dxa" w:w="80"/>
              <w:right w:type="dxa" w:w="120"/>
            </w:tcMar>
          </w:tcPr>
          <w:p>
            <w:r>
              <w:rPr>
                <w:b/>
                <w:bCs/>
                <w:sz w:val="19"/>
                <w:szCs w:val="19"/>
              </w:rPr>
              <w:t xml:space="preserve">Exploration</w:t>
            </w:r>
          </w:p>
        </w:tc>
        <w:tc>
          <w:tcPr>
            <w:tcW w:type="pct" w:w="36%"/>
            <w:tcMar>
              <w:top w:type="dxa" w:w="80"/>
              <w:left w:type="dxa" w:w="120"/>
              <w:bottom w:type="dxa" w:w="80"/>
              <w:right w:type="dxa" w:w="120"/>
            </w:tcMar>
          </w:tcPr>
          <w:p>
            <w:r>
              <w:rPr>
                <w:sz w:val="19"/>
                <w:szCs w:val="19"/>
              </w:rPr>
              <w:t xml:space="preserve">OARS (reflection-led)</w:t>
            </w:r>
          </w:p>
        </w:tc>
        <w:tc>
          <w:tcPr>
            <w:tcW w:type="pct" w:w="36%"/>
            <w:tcMar>
              <w:top w:type="dxa" w:w="80"/>
              <w:left w:type="dxa" w:w="120"/>
              <w:bottom w:type="dxa" w:w="80"/>
              <w:right w:type="dxa" w:w="120"/>
            </w:tcMar>
          </w:tcPr>
          <w:p>
            <w:r>
              <w:rPr>
                <w:sz w:val="19"/>
                <w:szCs w:val="19"/>
              </w:rPr>
              <w:t xml:space="preserve">Client's own language and insight, not worker-supplied narrative.</w:t>
            </w:r>
          </w:p>
        </w:tc>
      </w:tr>
      <w:tr>
        <w:tc>
          <w:tcPr>
            <w:tcW w:type="pct" w:w="28%"/>
            <w:tcMar>
              <w:top w:type="dxa" w:w="80"/>
              <w:left w:type="dxa" w:w="120"/>
              <w:bottom w:type="dxa" w:w="80"/>
              <w:right w:type="dxa" w:w="120"/>
            </w:tcMar>
          </w:tcPr>
          <w:p>
            <w:r>
              <w:rPr>
                <w:b/>
                <w:bCs/>
                <w:sz w:val="19"/>
                <w:szCs w:val="19"/>
              </w:rPr>
              <w:t xml:space="preserve">Risk &amp; priority identification</w:t>
            </w:r>
          </w:p>
        </w:tc>
        <w:tc>
          <w:tcPr>
            <w:tcW w:type="pct" w:w="36%"/>
            <w:tcMar>
              <w:top w:type="dxa" w:w="80"/>
              <w:left w:type="dxa" w:w="120"/>
              <w:bottom w:type="dxa" w:w="80"/>
              <w:right w:type="dxa" w:w="120"/>
            </w:tcMar>
          </w:tcPr>
          <w:p>
            <w:r>
              <w:rPr>
                <w:sz w:val="19"/>
                <w:szCs w:val="19"/>
              </w:rPr>
              <w:t xml:space="preserve">CENAPS</w:t>
            </w:r>
          </w:p>
        </w:tc>
        <w:tc>
          <w:tcPr>
            <w:tcW w:type="pct" w:w="36%"/>
            <w:tcMar>
              <w:top w:type="dxa" w:w="80"/>
              <w:left w:type="dxa" w:w="120"/>
              <w:bottom w:type="dxa" w:w="80"/>
              <w:right w:type="dxa" w:w="120"/>
            </w:tcMar>
          </w:tcPr>
          <w:p>
            <w:r>
              <w:rPr>
                <w:sz w:val="19"/>
                <w:szCs w:val="19"/>
              </w:rPr>
              <w:t xml:space="preserve">Shared vocabulary for where the client is in the relapse process; informs sequencing.</w:t>
            </w:r>
          </w:p>
        </w:tc>
      </w:tr>
      <w:tr>
        <w:tc>
          <w:tcPr>
            <w:tcW w:type="pct" w:w="28%"/>
            <w:tcMar>
              <w:top w:type="dxa" w:w="80"/>
              <w:left w:type="dxa" w:w="120"/>
              <w:bottom w:type="dxa" w:w="80"/>
              <w:right w:type="dxa" w:w="120"/>
            </w:tcMar>
          </w:tcPr>
          <w:p>
            <w:r>
              <w:rPr>
                <w:b/>
                <w:bCs/>
                <w:sz w:val="19"/>
                <w:szCs w:val="19"/>
              </w:rPr>
              <w:t xml:space="preserve">Psychoeducation on what's ahead</w:t>
            </w:r>
          </w:p>
        </w:tc>
        <w:tc>
          <w:tcPr>
            <w:tcW w:type="pct" w:w="36%"/>
            <w:tcMar>
              <w:top w:type="dxa" w:w="80"/>
              <w:left w:type="dxa" w:w="120"/>
              <w:bottom w:type="dxa" w:w="80"/>
              <w:right w:type="dxa" w:w="120"/>
            </w:tcMar>
          </w:tcPr>
          <w:p>
            <w:r>
              <w:rPr>
                <w:sz w:val="19"/>
                <w:szCs w:val="19"/>
              </w:rPr>
              <w:t xml:space="preserve">PAWS research</w:t>
            </w:r>
          </w:p>
        </w:tc>
        <w:tc>
          <w:tcPr>
            <w:tcW w:type="pct" w:w="36%"/>
            <w:tcMar>
              <w:top w:type="dxa" w:w="80"/>
              <w:left w:type="dxa" w:w="120"/>
              <w:bottom w:type="dxa" w:w="80"/>
              <w:right w:type="dxa" w:w="120"/>
            </w:tcMar>
          </w:tcPr>
          <w:p>
            <w:r>
              <w:rPr>
                <w:sz w:val="19"/>
                <w:szCs w:val="19"/>
              </w:rPr>
              <w:t xml:space="preserve">Client has realistic, normalized expectations for weeks/months post-stabilization.</w:t>
            </w:r>
          </w:p>
        </w:tc>
      </w:tr>
      <w:tr>
        <w:tc>
          <w:tcPr>
            <w:tcW w:type="pct" w:w="28%"/>
            <w:tcMar>
              <w:top w:type="dxa" w:w="80"/>
              <w:left w:type="dxa" w:w="120"/>
              <w:bottom w:type="dxa" w:w="80"/>
              <w:right w:type="dxa" w:w="120"/>
            </w:tcMar>
          </w:tcPr>
          <w:p>
            <w:r>
              <w:rPr>
                <w:b/>
                <w:bCs/>
                <w:sz w:val="19"/>
                <w:szCs w:val="19"/>
              </w:rPr>
              <w:t xml:space="preserve">Plan &amp; close</w:t>
            </w:r>
          </w:p>
        </w:tc>
        <w:tc>
          <w:tcPr>
            <w:tcW w:type="pct" w:w="36%"/>
            <w:tcMar>
              <w:top w:type="dxa" w:w="80"/>
              <w:left w:type="dxa" w:w="120"/>
              <w:bottom w:type="dxa" w:w="80"/>
              <w:right w:type="dxa" w:w="120"/>
            </w:tcMar>
          </w:tcPr>
          <w:p>
            <w:r>
              <w:rPr>
                <w:sz w:val="19"/>
                <w:szCs w:val="19"/>
              </w:rPr>
              <w:t xml:space="preserve">MI (change talk elicited, not supplied)</w:t>
            </w:r>
          </w:p>
        </w:tc>
        <w:tc>
          <w:tcPr>
            <w:tcW w:type="pct" w:w="36%"/>
            <w:tcMar>
              <w:top w:type="dxa" w:w="80"/>
              <w:left w:type="dxa" w:w="120"/>
              <w:bottom w:type="dxa" w:w="80"/>
              <w:right w:type="dxa" w:w="120"/>
            </w:tcMar>
          </w:tcPr>
          <w:p>
            <w:r>
              <w:rPr>
                <w:sz w:val="19"/>
                <w:szCs w:val="19"/>
              </w:rPr>
              <w:t xml:space="preserve">A plan stated in the client's own words, which research shows produces higher follow-through than a worker-authored plan.</w:t>
            </w:r>
          </w:p>
        </w:tc>
      </w:tr>
    </w:tbl>
    <w:p>
      <w:pPr>
        <w:spacing w:after="120"/>
      </w:pPr>
      <w:r>
        <w:rPr>
          <w:sz w:val="21"/>
          <w:szCs w:val="21"/>
        </w:rPr>
        <w:t xml:space="preserve"/>
      </w:r>
    </w:p>
    <w:p>
      <w:pPr>
        <w:pStyle w:val="Heading1"/>
        <w:pBdr>
          <w:bottom w:val="single" w:color="1F2937" w:sz="8" w:space="4"/>
        </w:pBdr>
        <w:spacing w:after="200" w:before="400"/>
      </w:pPr>
      <w:r>
        <w:rPr>
          <w:b/>
          <w:bCs/>
          <w:color w:val="1F2937"/>
          <w:sz w:val="30"/>
          <w:szCs w:val="30"/>
        </w:rPr>
        <w:t xml:space="preserve">7. What This Means for Building Our Intake Script</w:t>
      </w:r>
    </w:p>
    <w:p>
      <w:pPr>
        <w:spacing w:after="80"/>
        <w:ind w:left="360"/>
      </w:pPr>
      <w:r>
        <w:rPr>
          <w:sz w:val="21"/>
          <w:szCs w:val="21"/>
        </w:rPr>
        <w:t xml:space="preserve">•  Standardization reduces variance: a script built on these models means intake quality no longer depends on which individual worker happens to take the call.</w:t>
      </w:r>
    </w:p>
    <w:p>
      <w:pPr>
        <w:spacing w:after="80"/>
        <w:ind w:left="360"/>
      </w:pPr>
      <w:r>
        <w:rPr>
          <w:sz w:val="21"/>
          <w:szCs w:val="21"/>
        </w:rPr>
        <w:t xml:space="preserve">•  Training is bounded and teachable: MI/OARS is typically trainable to a competent baseline in 4–8 hours for a worker already familiar with basic counselling skills — this is a training investment, not a new specialization.</w:t>
      </w:r>
    </w:p>
    <w:p>
      <w:pPr>
        <w:spacing w:after="80"/>
        <w:ind w:left="360"/>
      </w:pPr>
      <w:r>
        <w:rPr>
          <w:sz w:val="21"/>
          <w:szCs w:val="21"/>
        </w:rPr>
        <w:t xml:space="preserve">•  Documentation improves automatically: a structured, model-based script produces more consistent intake notes, which supports both clinical handoff and funder/outcome reporting.</w:t>
      </w:r>
    </w:p>
    <w:p>
      <w:pPr>
        <w:spacing w:after="80"/>
        <w:ind w:left="360"/>
      </w:pPr>
      <w:r>
        <w:rPr>
          <w:sz w:val="21"/>
          <w:szCs w:val="21"/>
        </w:rPr>
        <w:t xml:space="preserve">•  Shame reduction is a designed outcome, not a hoped-for side effect: naming relapse-as-process (CENAPS) and normalizing PAWS symptoms directly targets the two factors most associated with client disengagement after a setback.</w:t>
      </w:r>
    </w:p>
    <w:p>
      <w:pPr>
        <w:spacing w:after="80"/>
        <w:ind w:left="360"/>
      </w:pPr>
      <w:r>
        <w:rPr>
          <w:sz w:val="21"/>
          <w:szCs w:val="21"/>
        </w:rPr>
        <w:t xml:space="preserve">•  Nothing here requires new infrastructure: these are communication and sequencing standards applied within the intake conversation itself, not new equipment, software, or facility requirements.</w:t>
      </w:r>
    </w:p>
    <w:p>
      <w:r>
        <w:br w:type="page"/>
      </w:r>
    </w:p>
    <w:p>
      <w:pPr>
        <w:pStyle w:val="Heading1"/>
        <w:pBdr>
          <w:bottom w:val="single" w:color="1F2937" w:sz="8" w:space="4"/>
        </w:pBdr>
        <w:spacing w:after="200" w:before="400"/>
      </w:pPr>
      <w:r>
        <w:rPr>
          <w:b/>
          <w:bCs/>
          <w:color w:val="1F2937"/>
          <w:sz w:val="30"/>
          <w:szCs w:val="30"/>
        </w:rPr>
        <w:t xml:space="preserve">8. Source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F2937" w:val="clear"/>
            <w:tcMar>
              <w:top w:type="dxa" w:w="80"/>
              <w:left w:type="dxa" w:w="120"/>
              <w:bottom w:type="dxa" w:w="80"/>
              <w:right w:type="dxa" w:w="120"/>
            </w:tcMar>
          </w:tcPr>
          <w:p>
            <w:r>
              <w:rPr>
                <w:b/>
                <w:bCs/>
                <w:color w:val="FFFFFF"/>
                <w:sz w:val="19"/>
                <w:szCs w:val="19"/>
              </w:rPr>
              <w:t xml:space="preserve">Model</w:t>
            </w:r>
          </w:p>
        </w:tc>
        <w:tc>
          <w:tcPr>
            <w:tcW w:type="pct" w:w="70%"/>
            <w:shd w:fill="1F2937" w:val="clear"/>
            <w:tcMar>
              <w:top w:type="dxa" w:w="80"/>
              <w:left w:type="dxa" w:w="120"/>
              <w:bottom w:type="dxa" w:w="80"/>
              <w:right w:type="dxa" w:w="120"/>
            </w:tcMar>
          </w:tcPr>
          <w:p>
            <w:r>
              <w:rPr>
                <w:b/>
                <w:bCs/>
                <w:color w:val="FFFFFF"/>
                <w:sz w:val="19"/>
                <w:szCs w:val="19"/>
              </w:rPr>
              <w:t xml:space="preserve">Core Citation</w:t>
            </w:r>
          </w:p>
        </w:tc>
      </w:tr>
      <w:tr>
        <w:tc>
          <w:tcPr>
            <w:tcW w:type="pct" w:w="30%"/>
            <w:tcMar>
              <w:top w:type="dxa" w:w="80"/>
              <w:left w:type="dxa" w:w="120"/>
              <w:bottom w:type="dxa" w:w="80"/>
              <w:right w:type="dxa" w:w="120"/>
            </w:tcMar>
          </w:tcPr>
          <w:p>
            <w:r>
              <w:rPr>
                <w:b/>
                <w:bCs/>
                <w:sz w:val="19"/>
                <w:szCs w:val="19"/>
              </w:rPr>
              <w:t xml:space="preserve">Motivational Interviewing</w:t>
            </w:r>
          </w:p>
        </w:tc>
        <w:tc>
          <w:tcPr>
            <w:tcW w:type="pct" w:w="70%"/>
            <w:tcMar>
              <w:top w:type="dxa" w:w="80"/>
              <w:left w:type="dxa" w:w="120"/>
              <w:bottom w:type="dxa" w:w="80"/>
              <w:right w:type="dxa" w:w="120"/>
            </w:tcMar>
          </w:tcPr>
          <w:p>
            <w:r>
              <w:rPr>
                <w:sz w:val="19"/>
                <w:szCs w:val="19"/>
              </w:rPr>
              <w:t xml:space="preserve">Miller, W.R. &amp; Rollnick, S. — Motivational Interviewing: Helping People Change (Guilford Press).</w:t>
            </w:r>
          </w:p>
        </w:tc>
      </w:tr>
      <w:tr>
        <w:tc>
          <w:tcPr>
            <w:tcW w:type="pct" w:w="30%"/>
            <w:tcMar>
              <w:top w:type="dxa" w:w="80"/>
              <w:left w:type="dxa" w:w="120"/>
              <w:bottom w:type="dxa" w:w="80"/>
              <w:right w:type="dxa" w:w="120"/>
            </w:tcMar>
          </w:tcPr>
          <w:p>
            <w:r>
              <w:rPr>
                <w:b/>
                <w:bCs/>
                <w:sz w:val="19"/>
                <w:szCs w:val="19"/>
              </w:rPr>
              <w:t xml:space="preserve">OARS</w:t>
            </w:r>
          </w:p>
        </w:tc>
        <w:tc>
          <w:tcPr>
            <w:tcW w:type="pct" w:w="70%"/>
            <w:tcMar>
              <w:top w:type="dxa" w:w="80"/>
              <w:left w:type="dxa" w:w="120"/>
              <w:bottom w:type="dxa" w:w="80"/>
              <w:right w:type="dxa" w:w="120"/>
            </w:tcMar>
          </w:tcPr>
          <w:p>
            <w:r>
              <w:rPr>
                <w:sz w:val="19"/>
                <w:szCs w:val="19"/>
              </w:rPr>
              <w:t xml:space="preserve">Core skill framework within Miller &amp; Rollnick's MI literature.</w:t>
            </w:r>
          </w:p>
        </w:tc>
      </w:tr>
      <w:tr>
        <w:tc>
          <w:tcPr>
            <w:tcW w:type="pct" w:w="30%"/>
            <w:tcMar>
              <w:top w:type="dxa" w:w="80"/>
              <w:left w:type="dxa" w:w="120"/>
              <w:bottom w:type="dxa" w:w="80"/>
              <w:right w:type="dxa" w:w="120"/>
            </w:tcMar>
          </w:tcPr>
          <w:p>
            <w:r>
              <w:rPr>
                <w:b/>
                <w:bCs/>
                <w:sz w:val="19"/>
                <w:szCs w:val="19"/>
              </w:rPr>
              <w:t xml:space="preserve">CENAPS Relapse Prevention</w:t>
            </w:r>
          </w:p>
        </w:tc>
        <w:tc>
          <w:tcPr>
            <w:tcW w:type="pct" w:w="70%"/>
            <w:tcMar>
              <w:top w:type="dxa" w:w="80"/>
              <w:left w:type="dxa" w:w="120"/>
              <w:bottom w:type="dxa" w:w="80"/>
              <w:right w:type="dxa" w:w="120"/>
            </w:tcMar>
          </w:tcPr>
          <w:p>
            <w:r>
              <w:rPr>
                <w:sz w:val="19"/>
                <w:szCs w:val="19"/>
              </w:rPr>
              <w:t xml:space="preserve">Gorski, T.T. (1989) — Passages Through Recovery / CENAPS relapse prevention model.</w:t>
            </w:r>
          </w:p>
        </w:tc>
      </w:tr>
      <w:tr>
        <w:tc>
          <w:tcPr>
            <w:tcW w:type="pct" w:w="30%"/>
            <w:tcMar>
              <w:top w:type="dxa" w:w="80"/>
              <w:left w:type="dxa" w:w="120"/>
              <w:bottom w:type="dxa" w:w="80"/>
              <w:right w:type="dxa" w:w="120"/>
            </w:tcMar>
          </w:tcPr>
          <w:p>
            <w:r>
              <w:rPr>
                <w:b/>
                <w:bCs/>
                <w:sz w:val="19"/>
                <w:szCs w:val="19"/>
              </w:rPr>
              <w:t xml:space="preserve">PAWS</w:t>
            </w:r>
          </w:p>
        </w:tc>
        <w:tc>
          <w:tcPr>
            <w:tcW w:type="pct" w:w="70%"/>
            <w:tcMar>
              <w:top w:type="dxa" w:w="80"/>
              <w:left w:type="dxa" w:w="120"/>
              <w:bottom w:type="dxa" w:w="80"/>
              <w:right w:type="dxa" w:w="120"/>
            </w:tcMar>
          </w:tcPr>
          <w:p>
            <w:r>
              <w:rPr>
                <w:sz w:val="19"/>
                <w:szCs w:val="19"/>
              </w:rPr>
              <w:t xml:space="preserve">Clinical and neurological recovery literature on post-acute withdrawal; addressed briefly in current Ontario addiction-services curricula without a standardized field tool attached.</w:t>
            </w:r>
          </w:p>
        </w:tc>
      </w:tr>
    </w:tbl>
    <w:p>
      <w:pPr>
        <w:spacing w:after="120"/>
      </w:pPr>
      <w:r>
        <w:rPr>
          <w:sz w:val="21"/>
          <w:szCs w:val="21"/>
        </w:rPr>
        <w:t xml:space="preserve"/>
      </w:r>
    </w:p>
    <w:p>
      <w:pPr>
        <w:spacing w:after="120"/>
      </w:pPr>
      <w:r>
        <w:rPr>
          <w:i/>
          <w:iCs/>
          <w:sz w:val="20"/>
          <w:szCs w:val="20"/>
        </w:rPr>
        <w:t xml:space="preserve">This briefing covers only the established, externally validated clinical base. It does not include H.A.L.O.'s internal G.A.P.S./GSRT framework material, which builds on these models and is documented separately — available on request for anyone who wants to see how the agency's specific intake script operationalizes the models above.</w:t>
      </w:r>
    </w:p>
    <w:p>
      <w:pPr>
        <w:spacing w:after="120"/>
      </w:pPr>
      <w:r>
        <w:rPr>
          <w:sz w:val="21"/>
          <w:szCs w:val="21"/>
        </w:rPr>
        <w:t xml:space="preserve"/>
      </w:r>
    </w:p>
    <w:p>
      <w:pPr>
        <w:spacing w:after="120"/>
      </w:pPr>
      <w:r>
        <w:rPr>
          <w:i/>
          <w:iCs/>
          <w:color w:val="6B7280"/>
          <w:sz w:val="18"/>
          <w:szCs w:val="18"/>
        </w:rPr>
        <w:t xml:space="preserve">Prepared for internal review — triOS College IAInt program placement.</w:t>
      </w:r>
    </w:p>
    <w:p>
      <w:pPr>
        <w:spacing w:after="120"/>
      </w:pPr>
      <w:r>
        <w:rPr>
          <w:i/>
          <w:iCs/>
          <w:color w:val="6B7280"/>
          <w:sz w:val="18"/>
          <w:szCs w:val="18"/>
        </w:rPr>
        <w:t xml:space="preserve">Neil J. Schwab · neil.schwab@live.ca · (905) 868-6985 · Newmarket, Ontario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2026-08-21T05:28:39.665Z</dcterms:created>
  <dcterms:modified xsi:type="dcterms:W3CDTF">2026-08-21T05:28:39.678Z</dcterms:modified>
</cp:coreProperties>
</file>

<file path=docProps/custom.xml><?xml version="1.0" encoding="utf-8"?>
<Properties xmlns="http://schemas.openxmlformats.org/officeDocument/2006/custom-properties" xmlns:vt="http://schemas.openxmlformats.org/officeDocument/2006/docPropsVTypes"/>
</file>