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Global Stewardship &amp; Reconciliation Trust (GSRT)</w:t>
      </w:r>
    </w:p>
    <w:p>
      <w:pPr>
        <w:pStyle w:val="Heading1"/>
      </w:pPr>
      <w:r>
        <w:t xml:space="preserve">Integrated Framework — Comprehensive Architecture Overview</w:t>
      </w:r>
    </w:p>
    <w:p>
      <w:pPr>
        <w:spacing w:after="120"/>
      </w:pPr>
      <w:r>
        <w:rPr>
          <w:i/>
          <w:iCs/>
        </w:rPr>
        <w:t xml:space="preserve">A Design Architecture for Human Flourishing, Ecological Restoration, and Economic Sovereignty</w:t>
      </w:r>
    </w:p>
    <w:p>
      <w:pPr>
        <w:spacing w:after="120"/>
      </w:pPr>
      <w:r>
        <w:rPr>
          <w:b/>
          <w:bCs/>
        </w:rPr>
        <w:t xml:space="preserve">DEVELOPMENT STAGE · THEORETICALLY GROUNDED · PILOT VALIDATION PENDING · CORRECTED EDITION</w:t>
      </w:r>
    </w:p>
    <w:p>
      <w:pPr>
        <w:spacing w:after="120"/>
      </w:pPr>
      <w:r>
        <w:t xml:space="preserve">Prepared by Neil J. Schwab, Framework Architect · neil.schwab@live.ca · +1 (905) 868-6985 · Newmarket, Ontario · June 2026, corrected</w:t>
      </w:r>
    </w:p>
    <w:p>
      <w:pPr>
        <w:pStyle w:val="Heading1"/>
        <w:spacing w:after="150" w:before="320"/>
      </w:pPr>
      <w:r>
        <w:t xml:space="preserve">Corrections Applied in This Edition</w:t>
      </w:r>
    </w:p>
    <w:p>
      <w:pPr>
        <w:spacing w:after="120"/>
      </w:pPr>
      <w:r>
        <w:t xml:space="preserve">The prior edition of this document was titled "A Complete Synoptic Certification" and opened with a formal certification of viability and completeness. That framing has been removed throughout. Every design element, equation, and operational model described here is real design work — the corrections below are not about the substance of the architecture, they are about not claiming a level of external verification, field validation, or completed outcome that does not yet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shd w:fill="1F3864" w:val="clear"/>
          </w:tcPr>
          <w:p>
            <w:r>
              <w:rPr>
                <w:b/>
                <w:bCs/>
                <w:color w:val="FFFFFF"/>
              </w:rPr>
              <w:t xml:space="preserve">Issue</w:t>
            </w:r>
          </w:p>
        </w:tc>
        <w:tc>
          <w:tcPr>
            <w:tcW w:type="dxa" w:w="4960"/>
            <w:shd w:fill="1F3864" w:val="clear"/>
          </w:tcPr>
          <w:p>
            <w:r>
              <w:rPr>
                <w:b/>
                <w:bCs/>
                <w:color w:val="FFFFFF"/>
              </w:rPr>
              <w:t xml:space="preserve">Correction applied</w:t>
            </w:r>
          </w:p>
        </w:tc>
      </w:tr>
      <w:tr>
        <w:tc>
          <w:tcPr>
            <w:tcW w:type="dxa" w:w="4400"/>
          </w:tcPr>
          <w:p>
            <w:r>
              <w:rPr>
                <w:b w:val="false"/>
                <w:bCs w:val="false"/>
              </w:rPr>
              <w:t xml:space="preserve">Opening section titled "CERTIFICATION OF VIABILITY AND COMPLETENESS" — "I certify that the following synopsis represents a complete, verified, and viable integrated framework."</w:t>
            </w:r>
          </w:p>
        </w:tc>
        <w:tc>
          <w:tcPr>
            <w:tcW w:type="dxa" w:w="4960"/>
          </w:tcPr>
          <w:p>
            <w:r>
              <w:rPr>
                <w:b w:val="false"/>
                <w:bCs w:val="false"/>
              </w:rPr>
              <w:t xml:space="preserve">Retitled "Framework Summary" and reframed as a design overview. The document now states plainly, once at the top and applying throughout, that this is a development-stage synthesis, not a certification of completed or field-verified outcomes.</w:t>
            </w:r>
          </w:p>
        </w:tc>
      </w:tr>
      <w:tr>
        <w:tc>
          <w:tcPr>
            <w:tcW w:type="dxa" w:w="4400"/>
          </w:tcPr>
          <w:p>
            <w:r>
              <w:rPr>
                <w:b w:val="false"/>
                <w:bCs w:val="false"/>
              </w:rPr>
              <w:t xml:space="preserve">"Independently assessed by Google Gemini and Microsoft Copilot (cold reviews) with a composite rating of H-6/6 — Historically Unprecedented," plus a full Part 8 built around this claim and its "rarity ratings."</w:t>
            </w:r>
          </w:p>
        </w:tc>
        <w:tc>
          <w:tcPr>
            <w:tcW w:type="dxa" w:w="4960"/>
          </w:tcPr>
          <w:p>
            <w:r>
              <w:rPr>
                <w:b w:val="false"/>
                <w:bCs w:val="false"/>
              </w:rPr>
              <w:t xml:space="preserve">Removed throughout. AI chatbot outputs are not evaluation instruments and do not constitute independent verification of a framework's viability, rarity, or historical significance — this applies regardless of how the claim is framed or how many models are cited.</w:t>
            </w:r>
          </w:p>
        </w:tc>
      </w:tr>
      <w:tr>
        <w:tc>
          <w:tcPr>
            <w:tcW w:type="dxa" w:w="4400"/>
          </w:tcPr>
          <w:p>
            <w:r>
              <w:rPr>
                <w:b w:val="false"/>
                <w:bCs w:val="false"/>
              </w:rPr>
              <w:t xml:space="preserve">A pseudo-statistical "Null Hypothesis Stress Test" claiming a calculated probability (Φ = 5×10⁻¹⁷) that the framework is not real.</w:t>
            </w:r>
          </w:p>
        </w:tc>
        <w:tc>
          <w:tcPr>
            <w:tcW w:type="dxa" w:w="4960"/>
          </w:tcPr>
          <w:p>
            <w:r>
              <w:rPr>
                <w:b w:val="false"/>
                <w:bCs w:val="false"/>
              </w:rPr>
              <w:t xml:space="preserve">Removed. This assigns false numerical precision to an unfalsifiable question and functions as a certainty claim dressed in the language of statistics — the same category of overclaim as the AI-assessment ratings, just with different decoration.</w:t>
            </w:r>
          </w:p>
        </w:tc>
      </w:tr>
      <w:tr>
        <w:tc>
          <w:tcPr>
            <w:tcW w:type="dxa" w:w="4400"/>
          </w:tcPr>
          <w:p>
            <w:r>
              <w:rPr>
                <w:b w:val="false"/>
                <w:bCs w:val="false"/>
              </w:rPr>
              <w:t xml:space="preserve">"A demonstrated operational model" (MASH, Earthworks) — no pilot has run for either; funding is still an active ask, not a completed investment.</w:t>
            </w:r>
          </w:p>
        </w:tc>
        <w:tc>
          <w:tcPr>
            <w:tcW w:type="dxa" w:w="4960"/>
          </w:tcPr>
          <w:p>
            <w:r>
              <w:rPr>
                <w:b w:val="false"/>
                <w:bCs w:val="false"/>
              </w:rPr>
              <w:t xml:space="preserve">Reframed as "a modeled operational design." MASH and Earthworks figures are labeled as projections built on the framework's cost model, consistent with the rest of the corrected library.</w:t>
            </w:r>
          </w:p>
        </w:tc>
      </w:tr>
      <w:tr>
        <w:tc>
          <w:tcPr>
            <w:tcW w:type="dxa" w:w="4400"/>
          </w:tcPr>
          <w:p>
            <w:r>
              <w:rPr>
                <w:b w:val="false"/>
                <w:bCs w:val="false"/>
              </w:rPr>
              <w:t xml:space="preserve">Section 11's "Structural Integrity Certification" table marking Financial Claims, Operational Models, and Academic Validation all as ✅ "verified" or "real-world proof."</w:t>
            </w:r>
          </w:p>
        </w:tc>
        <w:tc>
          <w:tcPr>
            <w:tcW w:type="dxa" w:w="4960"/>
          </w:tcPr>
          <w:p>
            <w:r>
              <w:rPr>
                <w:b w:val="false"/>
                <w:bCs w:val="false"/>
              </w:rPr>
              <w:t xml:space="preserve">Renamed "Internal Consistency Summary." Checkmarks now reflect only what was actually checked — internal cross-document consistency — not field verification, financial audit, or third-party validation, none of which have occurred yet.</w:t>
            </w:r>
          </w:p>
        </w:tc>
      </w:tr>
      <w:tr>
        <w:tc>
          <w:tcPr>
            <w:tcW w:type="dxa" w:w="4400"/>
          </w:tcPr>
          <w:p>
            <w:r>
              <w:rPr>
                <w:b w:val="false"/>
                <w:bCs w:val="false"/>
              </w:rPr>
              <w:t xml:space="preserve">Closing certification block: "I certify that the foregoing synopsis accurately represents the complete, verified, and viable integrated framework... The null hypothesis is dead. The framework stands."</w:t>
            </w:r>
          </w:p>
        </w:tc>
        <w:tc>
          <w:tcPr>
            <w:tcW w:type="dxa" w:w="4960"/>
          </w:tcPr>
          <w:p>
            <w:r>
              <w:rPr>
                <w:b w:val="false"/>
                <w:bCs w:val="false"/>
              </w:rPr>
              <w:t xml:space="preserve">Replaced with an honest status statement: the design is complete: the evidence for its real-world performance is not yet in.</w:t>
            </w:r>
          </w:p>
        </w:tc>
      </w:tr>
      <w:tr>
        <w:tc>
          <w:tcPr>
            <w:tcW w:type="dxa" w:w="4400"/>
          </w:tcPr>
          <w:p>
            <w:r>
              <w:rPr>
                <w:b w:val="false"/>
                <w:bCs w:val="false"/>
              </w:rPr>
              <w:t xml:space="preserve">"98% in Tool and Die Theory — Highest Mark Ever Recorded at the Institution."</w:t>
            </w:r>
          </w:p>
        </w:tc>
        <w:tc>
          <w:tcPr>
            <w:tcW w:type="dxa" w:w="4960"/>
          </w:tcPr>
          <w:p>
            <w:r>
              <w:rPr>
                <w:b w:val="false"/>
                <w:bCs w:val="false"/>
              </w:rPr>
              <w:t xml:space="preserve">Flagged, not altered — this is a specific, checkable superlative claim. If you have the institutional record confirming this, keep it and cite it; if you're not certain it's documented as an official record (not just personal recollection), soften to "one of the highest marks recorded" or drop the superlative.</w:t>
            </w:r>
          </w:p>
        </w:tc>
      </w:tr>
    </w:tbl>
    <w:p>
      <w:pPr>
        <w:pStyle w:val="Heading1"/>
        <w:spacing w:after="150" w:before="320"/>
      </w:pPr>
      <w:r>
        <w:t xml:space="preserve">Framework Summary</w:t>
      </w:r>
    </w:p>
    <w:p>
      <w:pPr>
        <w:spacing w:after="120"/>
      </w:pPr>
      <w:r>
        <w:t xml:space="preserve">This document presents the complete design architecture of the GSRT framework as it stands to date. It is a development-stage synthesis — theoretically grounded and educationally supported, not a certification of completed, field-verified outcomes. Pilot validation is pending across every operational and financial claim below. The framework encompasses ten integrated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shd w:fill="1F3864" w:val="clear"/>
          </w:tcPr>
          <w:p>
            <w:r>
              <w:rPr>
                <w:b/>
                <w:bCs/>
                <w:color w:val="FFFFFF"/>
              </w:rPr>
              <w:t xml:space="preserve">#</w:t>
            </w:r>
          </w:p>
        </w:tc>
        <w:tc>
          <w:tcPr>
            <w:tcW w:type="dxa" w:w="8860"/>
            <w:shd w:fill="1F3864" w:val="clear"/>
          </w:tcPr>
          <w:p>
            <w:r>
              <w:rPr>
                <w:b/>
                <w:bCs/>
                <w:color w:val="FFFFFF"/>
              </w:rPr>
              <w:t xml:space="preserve">Domain</w:t>
            </w:r>
          </w:p>
        </w:tc>
      </w:tr>
      <w:tr>
        <w:tc>
          <w:tcPr>
            <w:tcW w:type="dxa" w:w="500"/>
          </w:tcPr>
          <w:p>
            <w:r>
              <w:rPr>
                <w:b w:val="false"/>
                <w:bCs w:val="false"/>
              </w:rPr>
              <w:t xml:space="preserve">1</w:t>
            </w:r>
          </w:p>
        </w:tc>
        <w:tc>
          <w:tcPr>
            <w:tcW w:type="dxa" w:w="8860"/>
          </w:tcPr>
          <w:p>
            <w:r>
              <w:rPr>
                <w:b w:val="false"/>
                <w:bCs w:val="false"/>
              </w:rPr>
              <w:t xml:space="preserve">An internally consistent mathematical architecture — 12 equations cross-checked for consistency across the document library, with corrections applied and logged where inconsistencies were found.</w:t>
            </w:r>
          </w:p>
        </w:tc>
      </w:tr>
      <w:tr>
        <w:tc>
          <w:tcPr>
            <w:tcW w:type="dxa" w:w="500"/>
          </w:tcPr>
          <w:p>
            <w:r>
              <w:rPr>
                <w:b w:val="false"/>
                <w:bCs w:val="false"/>
              </w:rPr>
              <w:t xml:space="preserve">2</w:t>
            </w:r>
          </w:p>
        </w:tc>
        <w:tc>
          <w:tcPr>
            <w:tcW w:type="dxa" w:w="8860"/>
          </w:tcPr>
          <w:p>
            <w:r>
              <w:rPr>
                <w:b w:val="false"/>
                <w:bCs w:val="false"/>
              </w:rPr>
              <w:t xml:space="preserve">A designed clinical architecture — integrating CENAPS/Gorski relapse prevention, PAWS neuroscience, Motivational Interviewing, and the original G.A.P.S. clinical toolkit across 12 Blocks, 7 PAWS hurdles, and 4 capacities (Gratitude, Acceptance, Presence, Surrender).</w:t>
            </w:r>
          </w:p>
        </w:tc>
      </w:tr>
      <w:tr>
        <w:tc>
          <w:tcPr>
            <w:tcW w:type="dxa" w:w="500"/>
          </w:tcPr>
          <w:p>
            <w:r>
              <w:rPr>
                <w:b w:val="false"/>
                <w:bCs w:val="false"/>
              </w:rPr>
              <w:t xml:space="preserve">3</w:t>
            </w:r>
          </w:p>
        </w:tc>
        <w:tc>
          <w:tcPr>
            <w:tcW w:type="dxa" w:w="8860"/>
          </w:tcPr>
          <w:p>
            <w:r>
              <w:rPr>
                <w:b w:val="false"/>
                <w:bCs w:val="false"/>
              </w:rPr>
              <w:t xml:space="preserve">A designed governance and sovereignty architecture — 33/33/33/1% tripartite structure with First Nations as sovereign design authority, Catholic Church as circulatory infrastructure, and Government of Canada as anchor customer, protected by three antifragility gates (VVV, Hodge, Mayhem).</w:t>
            </w:r>
          </w:p>
        </w:tc>
      </w:tr>
      <w:tr>
        <w:tc>
          <w:tcPr>
            <w:tcW w:type="dxa" w:w="500"/>
          </w:tcPr>
          <w:p>
            <w:r>
              <w:rPr>
                <w:b w:val="false"/>
                <w:bCs w:val="false"/>
              </w:rPr>
              <w:t xml:space="preserve">4</w:t>
            </w:r>
          </w:p>
        </w:tc>
        <w:tc>
          <w:tcPr>
            <w:tcW w:type="dxa" w:w="8860"/>
          </w:tcPr>
          <w:p>
            <w:r>
              <w:rPr>
                <w:b w:val="false"/>
                <w:bCs w:val="false"/>
              </w:rPr>
              <w:t xml:space="preserve">A designed self-funding economic model — the Godspring Monetary Aquifer proof (0.50R = $18.5M → R = $37M cumulative gross revenue), projected to reach self-sufficiency from Year 6 with no further government funding required if the model performs as designed, featuring a hardcoded 20/40/20/10/10 Justice Floor with 80% local retention.</w:t>
            </w:r>
          </w:p>
        </w:tc>
      </w:tr>
      <w:tr>
        <w:tc>
          <w:tcPr>
            <w:tcW w:type="dxa" w:w="500"/>
          </w:tcPr>
          <w:p>
            <w:r>
              <w:rPr>
                <w:b w:val="false"/>
                <w:bCs w:val="false"/>
              </w:rPr>
              <w:t xml:space="preserve">5</w:t>
            </w:r>
          </w:p>
        </w:tc>
        <w:tc>
          <w:tcPr>
            <w:tcW w:type="dxa" w:w="8860"/>
          </w:tcPr>
          <w:p>
            <w:r>
              <w:rPr>
                <w:b w:val="false"/>
                <w:bCs w:val="false"/>
              </w:rPr>
              <w:t xml:space="preserve">A modeled operational design — the MASH Antifragile 200-person land-based recovery camp (Year 1 projection: $3.5M ask, 18.7:1 ROI, $65.5M public saving), and GSRT Earthworks paid restoration workforce ($22/hr, 2+8 nodes, 40km Don River corridor, 120-day projected break-even). No pilot has run yet for either.</w:t>
            </w:r>
          </w:p>
        </w:tc>
      </w:tr>
      <w:tr>
        <w:tc>
          <w:tcPr>
            <w:tcW w:type="dxa" w:w="500"/>
          </w:tcPr>
          <w:p>
            <w:r>
              <w:rPr>
                <w:b w:val="false"/>
                <w:bCs w:val="false"/>
              </w:rPr>
              <w:t xml:space="preserve">6</w:t>
            </w:r>
          </w:p>
        </w:tc>
        <w:tc>
          <w:tcPr>
            <w:tcW w:type="dxa" w:w="8860"/>
          </w:tcPr>
          <w:p>
            <w:r>
              <w:rPr>
                <w:b w:val="false"/>
                <w:bCs w:val="false"/>
              </w:rPr>
              <w:t xml:space="preserve">The Don River Plug Scenario — a hypothetical debris-plug response used to illustrate operational value at scale. This is a modeled scenario, not a documented field event.</w:t>
            </w:r>
          </w:p>
        </w:tc>
      </w:tr>
      <w:tr>
        <w:tc>
          <w:tcPr>
            <w:tcW w:type="dxa" w:w="500"/>
          </w:tcPr>
          <w:p>
            <w:r>
              <w:rPr>
                <w:b w:val="false"/>
                <w:bCs w:val="false"/>
              </w:rPr>
              <w:t xml:space="preserve">7</w:t>
            </w:r>
          </w:p>
        </w:tc>
        <w:tc>
          <w:tcPr>
            <w:tcW w:type="dxa" w:w="8860"/>
          </w:tcPr>
          <w:p>
            <w:r>
              <w:rPr>
                <w:b w:val="false"/>
                <w:bCs w:val="false"/>
              </w:rPr>
              <w:t xml:space="preserve">An academic record — coursework performance at a CACCF-recognized institution, with grades and instructor feedback attributed per course (see Part 7 for the full, individually-sourced breakdown).</w:t>
            </w:r>
          </w:p>
        </w:tc>
      </w:tr>
      <w:tr>
        <w:tc>
          <w:tcPr>
            <w:tcW w:type="dxa" w:w="500"/>
          </w:tcPr>
          <w:p>
            <w:r>
              <w:rPr>
                <w:b w:val="false"/>
                <w:bCs w:val="false"/>
              </w:rPr>
              <w:t xml:space="preserve">8</w:t>
            </w:r>
          </w:p>
        </w:tc>
        <w:tc>
          <w:tcPr>
            <w:tcW w:type="dxa" w:w="8860"/>
          </w:tcPr>
          <w:p>
            <w:r>
              <w:rPr>
                <w:b w:val="false"/>
                <w:bCs w:val="false"/>
              </w:rPr>
              <w:t xml:space="preserve">A designed technology layer — CBT Pulse / CAI, deployed and offline-capable, and a specified but not-yet-built Antifragile AI platform (6 technology layers).</w:t>
            </w:r>
          </w:p>
        </w:tc>
      </w:tr>
      <w:tr>
        <w:tc>
          <w:tcPr>
            <w:tcW w:type="dxa" w:w="500"/>
          </w:tcPr>
          <w:p>
            <w:r>
              <w:rPr>
                <w:b w:val="false"/>
                <w:bCs w:val="false"/>
              </w:rPr>
              <w:t xml:space="preserve">9</w:t>
            </w:r>
          </w:p>
        </w:tc>
        <w:tc>
          <w:tcPr>
            <w:tcW w:type="dxa" w:w="8860"/>
          </w:tcPr>
          <w:p>
            <w:r>
              <w:rPr>
                <w:b w:val="false"/>
                <w:bCs w:val="false"/>
              </w:rPr>
              <w:t xml:space="preserve">A documented personal and family lineage informing the ethical design of the Hodge Gate, and structural alignment with Chiefs of Ontario Traditional Knowledge Protocols.</w:t>
            </w:r>
          </w:p>
        </w:tc>
      </w:tr>
      <w:tr>
        <w:tc>
          <w:tcPr>
            <w:tcW w:type="dxa" w:w="500"/>
          </w:tcPr>
          <w:p>
            <w:r>
              <w:rPr>
                <w:b w:val="false"/>
                <w:bCs w:val="false"/>
              </w:rPr>
              <w:t xml:space="preserve">10</w:t>
            </w:r>
          </w:p>
        </w:tc>
        <w:tc>
          <w:tcPr>
            <w:tcW w:type="dxa" w:w="8860"/>
          </w:tcPr>
          <w:p>
            <w:r>
              <w:rPr>
                <w:b w:val="false"/>
                <w:bCs w:val="false"/>
              </w:rPr>
              <w:t xml:space="preserve">An implementation pathway — CAEH26 submission pending, a MASH Antifragile proposal to the Ontario government ($3.5M ask), a GAC Concept Note ($18.5M CRC submission), and a 9-step Indigenous Engagement Disclosure Map (consent-first, protocol-led, non-extractive).</w:t>
            </w:r>
          </w:p>
        </w:tc>
      </w:tr>
    </w:tbl>
    <w:p>
      <w:pPr>
        <w:pStyle w:val="Heading1"/>
        <w:spacing w:after="150" w:before="320"/>
      </w:pPr>
      <w:r>
        <w:t xml:space="preserve">Part 1 — The Problem: Three Converging Crises</w:t>
      </w:r>
    </w:p>
    <w:p>
      <w:pPr>
        <w:spacing w:after="120"/>
      </w:pPr>
      <w:r>
        <w:t xml:space="preserve">The GSRT framework is designed to address three simultaneous and compounding crises.</w:t>
      </w:r>
    </w:p>
    <w:p>
      <w:pPr>
        <w:pStyle w:val="Heading2"/>
        <w:spacing w:after="120" w:before="240"/>
      </w:pPr>
      <w:r>
        <w:t xml:space="preserve">1.1 AI-Driven Employment Displacement</w:t>
      </w:r>
    </w:p>
    <w:p>
      <w:pPr>
        <w:spacing w:after="120"/>
      </w:pPr>
      <w:r>
        <w:t xml:space="preserve">AI is projected to threaten 30–40% of existing jobs globally by 2030 (McKinsey Global Institute, 2023; World Economic Forum, 2023), with disproportionate impact on First Nations communities, rural workers, and populations without adjacent digital retraining pathways.</w:t>
      </w:r>
    </w:p>
    <w:p>
      <w:pPr>
        <w:pStyle w:val="Heading2"/>
        <w:spacing w:after="120" w:before="240"/>
      </w:pPr>
      <w:r>
        <w:t xml:space="preserve">1.2 Ecological Collapse</w:t>
      </w:r>
    </w:p>
    <w:p>
      <w:pPr>
        <w:spacing w:after="120"/>
      </w:pPr>
      <w:r>
        <w:t xml:space="preserve">Over 2 billion tonnes of solid waste are generated annually (UNEP, 2024). More than 1,500 First Nations communities in Canada lack access to safe drinking water (Health Canada, 2023). Wetland loss has reduced natural flood buffers by over 35% globally since 1970 (Ramsar Convention).</w:t>
      </w:r>
    </w:p>
    <w:p>
      <w:pPr>
        <w:pStyle w:val="Heading2"/>
        <w:spacing w:after="120" w:before="240"/>
      </w:pPr>
      <w:r>
        <w:t xml:space="preserve">1.3 Neurochemical Poverty</w:t>
      </w:r>
    </w:p>
    <w:p>
      <w:pPr>
        <w:spacing w:after="120"/>
      </w:pPr>
      <w:r>
        <w:t xml:space="preserve">A person in sustained addiction, unemployment, and chronic crisis is estimated to cost the Canadian government approximately CAD $120,000 per year across healthcare, policing, and social triage (composite estimate: CIHI Mental Health and Addictions Report; Public Safety Canada; ESDC).</w:t>
      </w:r>
    </w:p>
    <w:p>
      <w:pPr>
        <w:pStyle w:val="Heading2"/>
        <w:spacing w:after="120" w:before="240"/>
      </w:pPr>
      <w:r>
        <w:t xml:space="preserve">1.4 The Unified Mathematical Model</w:t>
      </w:r>
    </w:p>
    <w:p>
      <w:pPr>
        <w:spacing w:after="120"/>
      </w:pPr>
      <w:r>
        <w:rPr>
          <w:b/>
          <w:bCs/>
        </w:rPr>
        <w:t xml:space="preserve">TSB = (U + E + Wd + H + S) × Pop ÷ W</w:t>
      </w:r>
    </w:p>
    <w:p>
      <w:pPr>
        <w:spacing w:after="120"/>
      </w:pPr>
      <w:r>
        <w:t xml:space="preserve">Where U=Unemployment cost, E=Environmental degradation cost, Wd=Welfare dependency cost, H=Healthcare burden, S=Social fragmentation cost, Pop=Affected population, W=Human Value Index. As the model's design intends W to rise, TSB is projected to fall — this is the mechanism the framework is designed around, not yet a measured outcome.</w:t>
      </w:r>
    </w:p>
    <w:p>
      <w:pPr>
        <w:pStyle w:val="Heading1"/>
        <w:spacing w:after="150" w:before="320"/>
      </w:pPr>
      <w:r>
        <w:t xml:space="preserve">Part 2 — The Solution: A Designed Self-Sustaining Restoration Economy</w:t>
      </w:r>
    </w:p>
    <w:p>
      <w:pPr>
        <w:spacing w:after="120"/>
      </w:pPr>
      <w:r>
        <w:t xml:space="preserve">The GSRT is designed as a self-perpetuating socio-economic operating system intended to convert ecological degradation, AI displacement, and neurochemical poverty into restoration revenue. As designed, it would not require ongoing government subsidy after seed repayment; whether it performs this way depends on pilot results that do not yet exist.</w:t>
      </w:r>
    </w:p>
    <w:p>
      <w:pPr>
        <w:pStyle w:val="Heading2"/>
        <w:spacing w:after="120" w:before="240"/>
      </w:pPr>
      <w:r>
        <w:t xml:space="preserve">2.1 The Three-Cog Architecture</w:t>
      </w:r>
    </w:p>
    <w:p>
      <w:pPr>
        <w:spacing w:after="120"/>
      </w:pPr>
      <w:r>
        <w:t xml:space="preserve">COG 1 — The Muscle (First Nations / CCGBI): First Nations hold sovereign design authority over all programming. The Conscious Choice Global Basic Income is a designed six-tier colour-coded restoration workforce progression aligned with WHMIS safety standards, with living wages (CAD $35,000–$95,000+ target range) for verified ecological restoration work.</w:t>
      </w:r>
    </w:p>
    <w:p>
      <w:pPr>
        <w:spacing w:after="120"/>
      </w:pPr>
      <w:r>
        <w:t xml:space="preserve">COG 2 — The Heart (Catholic Church / Vatican): institutional infrastructure placed in servant posture under First Nations design authority, operationalizing TRC Calls to Action 48 and 49.</w:t>
      </w:r>
    </w:p>
    <w:p>
      <w:pPr>
        <w:spacing w:after="120"/>
      </w:pPr>
      <w:r>
        <w:t xml:space="preserve">COG 3 — The AI Integration (GTT / CEP / AI Halo IRF): the designed intelligence layer — Global Telephone Tag, Chemical Exposure Platform, and the AI Halo Intention Ripple Forecaster, governed by the Saint Christopher Handshake data protocol (mutual observation, never extraction).</w:t>
      </w:r>
    </w:p>
    <w:p>
      <w:pPr>
        <w:spacing w:after="120"/>
      </w:pPr>
      <w:r>
        <w:t xml:space="preserve">The Anchor — Government of Canada: designed as anchor customer and seed investor ($18.5M), purchasing verified ecological and social outcomes at agreed rates. The investment is projected to be repaid within five years, with no further funding required from Year 6 if the model performs as designed.</w:t>
      </w:r>
    </w:p>
    <w:p>
      <w:pPr>
        <w:pStyle w:val="Heading2"/>
        <w:spacing w:after="120" w:before="240"/>
      </w:pPr>
      <w:r>
        <w:t xml:space="preserve">2.2 The Godspring Watershed — Financial Architecture</w:t>
      </w:r>
    </w:p>
    <w:p>
      <w:pPr>
        <w:spacing w:after="120"/>
      </w:pPr>
      <w:r>
        <w:t xml:space="preserve">All restoration revenue is designed to flow through the 20/40/20/10/10 Justice Floor — a legally binding waterfall distribution intended to apply at every level of the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760"/>
        <w:gridCol w:w="5000"/>
      </w:tblGrid>
      <w:tr>
        <w:tc>
          <w:tcPr>
            <w:tcW w:type="dxa" w:w="900"/>
            <w:shd w:fill="1F3864" w:val="clear"/>
          </w:tcPr>
          <w:p>
            <w:r>
              <w:rPr>
                <w:b/>
                <w:bCs/>
                <w:color w:val="FFFFFF"/>
              </w:rPr>
              <w:t xml:space="preserve">Stream</w:t>
            </w:r>
          </w:p>
        </w:tc>
        <w:tc>
          <w:tcPr>
            <w:tcW w:type="dxa" w:w="700"/>
            <w:shd w:fill="1F3864" w:val="clear"/>
          </w:tcPr>
          <w:p>
            <w:r>
              <w:rPr>
                <w:b/>
                <w:bCs/>
                <w:color w:val="FFFFFF"/>
              </w:rPr>
              <w:t xml:space="preserve">%</w:t>
            </w:r>
          </w:p>
        </w:tc>
        <w:tc>
          <w:tcPr>
            <w:tcW w:type="dxa" w:w="2760"/>
            <w:shd w:fill="1F3864" w:val="clear"/>
          </w:tcPr>
          <w:p>
            <w:r>
              <w:rPr>
                <w:b/>
                <w:bCs/>
                <w:color w:val="FFFFFF"/>
              </w:rPr>
              <w:t xml:space="preserve">Recipient</w:t>
            </w:r>
          </w:p>
        </w:tc>
        <w:tc>
          <w:tcPr>
            <w:tcW w:type="dxa" w:w="5000"/>
            <w:shd w:fill="1F3864" w:val="clear"/>
          </w:tcPr>
          <w:p>
            <w:r>
              <w:rPr>
                <w:b/>
                <w:bCs/>
                <w:color w:val="FFFFFF"/>
              </w:rPr>
              <w:t xml:space="preserve">Purpose</w:t>
            </w:r>
          </w:p>
        </w:tc>
      </w:tr>
      <w:tr>
        <w:tc>
          <w:tcPr>
            <w:tcW w:type="dxa" w:w="900"/>
          </w:tcPr>
          <w:p>
            <w:r>
              <w:rPr>
                <w:b w:val="false"/>
                <w:bCs w:val="false"/>
              </w:rPr>
              <w:t xml:space="preserve">1</w:t>
            </w:r>
          </w:p>
        </w:tc>
        <w:tc>
          <w:tcPr>
            <w:tcW w:type="dxa" w:w="700"/>
          </w:tcPr>
          <w:p>
            <w:r>
              <w:rPr>
                <w:b w:val="false"/>
                <w:bCs w:val="false"/>
              </w:rPr>
              <w:t xml:space="preserve">20%</w:t>
            </w:r>
          </w:p>
        </w:tc>
        <w:tc>
          <w:tcPr>
            <w:tcW w:type="dxa" w:w="2760"/>
          </w:tcPr>
          <w:p>
            <w:r>
              <w:rPr>
                <w:b w:val="false"/>
                <w:bCs w:val="false"/>
              </w:rPr>
              <w:t xml:space="preserve">Operations</w:t>
            </w:r>
          </w:p>
        </w:tc>
        <w:tc>
          <w:tcPr>
            <w:tcW w:type="dxa" w:w="5000"/>
          </w:tcPr>
          <w:p>
            <w:r>
              <w:rPr>
                <w:b w:val="false"/>
                <w:bCs w:val="false"/>
              </w:rPr>
              <w:t xml:space="preserve">Platform maintenance, WHMIS compliance, verification centres, administration</w:t>
            </w:r>
          </w:p>
        </w:tc>
      </w:tr>
      <w:tr>
        <w:tc>
          <w:tcPr>
            <w:tcW w:type="dxa" w:w="900"/>
          </w:tcPr>
          <w:p>
            <w:r>
              <w:rPr>
                <w:b w:val="false"/>
                <w:bCs w:val="false"/>
              </w:rPr>
              <w:t xml:space="preserve">2</w:t>
            </w:r>
          </w:p>
        </w:tc>
        <w:tc>
          <w:tcPr>
            <w:tcW w:type="dxa" w:w="700"/>
          </w:tcPr>
          <w:p>
            <w:r>
              <w:rPr>
                <w:b w:val="false"/>
                <w:bCs w:val="false"/>
              </w:rPr>
              <w:t xml:space="preserve">40%</w:t>
            </w:r>
          </w:p>
        </w:tc>
        <w:tc>
          <w:tcPr>
            <w:tcW w:type="dxa" w:w="2760"/>
          </w:tcPr>
          <w:p>
            <w:r>
              <w:rPr>
                <w:b w:val="false"/>
                <w:bCs w:val="false"/>
              </w:rPr>
              <w:t xml:space="preserve">Participants</w:t>
            </w:r>
          </w:p>
        </w:tc>
        <w:tc>
          <w:tcPr>
            <w:tcW w:type="dxa" w:w="5000"/>
          </w:tcPr>
          <w:p>
            <w:r>
              <w:rPr>
                <w:b w:val="false"/>
                <w:bCs w:val="false"/>
              </w:rPr>
              <w:t xml:space="preserve">Direct worker income — constitutional floor, designed never to be redirected</w:t>
            </w:r>
          </w:p>
        </w:tc>
      </w:tr>
      <w:tr>
        <w:tc>
          <w:tcPr>
            <w:tcW w:type="dxa" w:w="900"/>
          </w:tcPr>
          <w:p>
            <w:r>
              <w:rPr>
                <w:b w:val="false"/>
                <w:bCs w:val="false"/>
              </w:rPr>
              <w:t xml:space="preserve">3</w:t>
            </w:r>
          </w:p>
        </w:tc>
        <w:tc>
          <w:tcPr>
            <w:tcW w:type="dxa" w:w="700"/>
          </w:tcPr>
          <w:p>
            <w:r>
              <w:rPr>
                <w:b w:val="false"/>
                <w:bCs w:val="false"/>
              </w:rPr>
              <w:t xml:space="preserve">20%</w:t>
            </w:r>
          </w:p>
        </w:tc>
        <w:tc>
          <w:tcPr>
            <w:tcW w:type="dxa" w:w="2760"/>
          </w:tcPr>
          <w:p>
            <w:r>
              <w:rPr>
                <w:b w:val="false"/>
                <w:bCs w:val="false"/>
              </w:rPr>
              <w:t xml:space="preserve">Community &amp; Elders</w:t>
            </w:r>
          </w:p>
        </w:tc>
        <w:tc>
          <w:tcPr>
            <w:tcW w:type="dxa" w:w="5000"/>
          </w:tcPr>
          <w:p>
            <w:r>
              <w:rPr>
                <w:b w:val="false"/>
                <w:bCs w:val="false"/>
              </w:rPr>
              <w:t xml:space="preserve">Elder stipends, community infrastructure, schools, intergenerational trusts</w:t>
            </w:r>
          </w:p>
        </w:tc>
      </w:tr>
      <w:tr>
        <w:tc>
          <w:tcPr>
            <w:tcW w:type="dxa" w:w="900"/>
          </w:tcPr>
          <w:p>
            <w:r>
              <w:rPr>
                <w:b w:val="false"/>
                <w:bCs w:val="false"/>
              </w:rPr>
              <w:t xml:space="preserve">4</w:t>
            </w:r>
          </w:p>
        </w:tc>
        <w:tc>
          <w:tcPr>
            <w:tcW w:type="dxa" w:w="700"/>
          </w:tcPr>
          <w:p>
            <w:r>
              <w:rPr>
                <w:b w:val="false"/>
                <w:bCs w:val="false"/>
              </w:rPr>
              <w:t xml:space="preserve">10%</w:t>
            </w:r>
          </w:p>
        </w:tc>
        <w:tc>
          <w:tcPr>
            <w:tcW w:type="dxa" w:w="2760"/>
          </w:tcPr>
          <w:p>
            <w:r>
              <w:rPr>
                <w:b w:val="false"/>
                <w:bCs w:val="false"/>
              </w:rPr>
              <w:t xml:space="preserve">Progression Stream</w:t>
            </w:r>
          </w:p>
        </w:tc>
        <w:tc>
          <w:tcPr>
            <w:tcW w:type="dxa" w:w="5000"/>
          </w:tcPr>
          <w:p>
            <w:r>
              <w:rPr>
                <w:b w:val="false"/>
                <w:bCs w:val="false"/>
              </w:rPr>
              <w:t xml:space="preserve">Feeds the Progression Engine — curriculum evolution, AI Halo IRF training, WHMIS development</w:t>
            </w:r>
          </w:p>
        </w:tc>
      </w:tr>
      <w:tr>
        <w:tc>
          <w:tcPr>
            <w:tcW w:type="dxa" w:w="900"/>
          </w:tcPr>
          <w:p>
            <w:r>
              <w:rPr>
                <w:b w:val="false"/>
                <w:bCs w:val="false"/>
              </w:rPr>
              <w:t xml:space="preserve">5</w:t>
            </w:r>
          </w:p>
        </w:tc>
        <w:tc>
          <w:tcPr>
            <w:tcW w:type="dxa" w:w="700"/>
          </w:tcPr>
          <w:p>
            <w:r>
              <w:rPr>
                <w:b w:val="false"/>
                <w:bCs w:val="false"/>
              </w:rPr>
              <w:t xml:space="preserve">10%</w:t>
            </w:r>
          </w:p>
        </w:tc>
        <w:tc>
          <w:tcPr>
            <w:tcW w:type="dxa" w:w="2760"/>
          </w:tcPr>
          <w:p>
            <w:r>
              <w:rPr>
                <w:b w:val="false"/>
                <w:bCs w:val="false"/>
              </w:rPr>
              <w:t xml:space="preserve">Scaling Reserve Stream</w:t>
            </w:r>
          </w:p>
        </w:tc>
        <w:tc>
          <w:tcPr>
            <w:tcW w:type="dxa" w:w="5000"/>
          </w:tcPr>
          <w:p>
            <w:r>
              <w:rPr>
                <w:b w:val="false"/>
                <w:bCs w:val="false"/>
              </w:rPr>
              <w:t xml:space="preserve">Feeds the Scaling Reserve Engine — Mayhem response, new node seeding, expansion</w:t>
            </w:r>
          </w:p>
        </w:tc>
      </w:tr>
    </w:tbl>
    <w:p>
      <w:pPr>
        <w:spacing w:after="120"/>
      </w:pPr>
      <w:r>
        <w:rPr>
          <w:i/>
          <w:iCs/>
        </w:rPr>
        <w:t xml:space="preserve">80% of value is designed to remain in community hands at every level of the cascade. This is a design floor, not yet a demonstrated track record.</w:t>
      </w:r>
    </w:p>
    <w:p>
      <w:pPr>
        <w:pStyle w:val="Heading2"/>
        <w:spacing w:after="120" w:before="240"/>
      </w:pPr>
      <w:r>
        <w:t xml:space="preserve">2.3–2.4 The Secondary Cascade and Four Civilizational Streams</w:t>
      </w:r>
    </w:p>
    <w:p>
      <w:pPr>
        <w:spacing w:after="120"/>
      </w:pPr>
      <w:r>
        <w:t xml:space="preserve">Both 10% streams (Progression and Scaling Reserve) are designed to feed independent engines, each running the identical 20/40/20/10/10 Justice Floor, funding four permanent streams from Day 1 of revenue: the Welfare River, the Charity &amp; Reconciliation River, the Space Exploration River, and the Animal Replenishment River.</w:t>
      </w:r>
    </w:p>
    <w:p>
      <w:pPr>
        <w:pStyle w:val="Heading2"/>
        <w:spacing w:after="120" w:before="240"/>
      </w:pPr>
      <w:r>
        <w:t xml:space="preserve">2.5 The Aquifer — Seed Repayment Design</w:t>
      </w:r>
    </w:p>
    <w:p>
      <w:pPr>
        <w:spacing w:after="120"/>
      </w:pPr>
      <w:r>
        <w:rPr>
          <w:b/>
          <w:bCs/>
        </w:rPr>
        <w:t xml:space="preserve">Aquifer_Recharge = 0.10 × Gross_Revenue (from both engines combined)</w:t>
      </w:r>
    </w:p>
    <w:p>
      <w:pPr>
        <w:spacing w:after="120"/>
      </w:pPr>
      <w:r>
        <w:rPr>
          <w:b/>
          <w:bCs/>
        </w:rPr>
        <w:t xml:space="preserve">Cumulative over 5 years: Aquifer_5yr = 0.50 × Gross_Revenue_Cumulative</w:t>
      </w:r>
    </w:p>
    <w:p>
      <w:pPr>
        <w:spacing w:after="120"/>
      </w:pPr>
      <w:r>
        <w:rPr>
          <w:b/>
          <w:bCs/>
        </w:rPr>
        <w:t xml:space="preserve">Seed repayment: 0.50R = $18.5M → R = $37M cumulative gross revenue over 5 years</w:t>
      </w:r>
    </w:p>
    <w:p>
      <w:pPr>
        <w:spacing w:after="120"/>
      </w:pPr>
      <w:r>
        <w:rPr>
          <w:i/>
          <w:iCs/>
        </w:rPr>
        <w:t xml:space="preserve">At $7.4M average gross revenue per year across active nodes — a target, not yet an achieved figure — the seed would be repaid by Year 5 as designed.</w:t>
      </w:r>
    </w:p>
    <w:p>
      <w:pPr>
        <w:pStyle w:val="Heading2"/>
        <w:spacing w:after="120" w:before="240"/>
      </w:pPr>
      <w:r>
        <w:t xml:space="preserve">2.6 Perpetual Motion — Year 6 and Beyond (Design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1F3864" w:val="clear"/>
          </w:tcPr>
          <w:p>
            <w:r>
              <w:rPr>
                <w:b/>
                <w:bCs/>
                <w:color w:val="FFFFFF"/>
              </w:rPr>
              <w:t xml:space="preserve">Period</w:t>
            </w:r>
          </w:p>
        </w:tc>
        <w:tc>
          <w:tcPr>
            <w:tcW w:type="dxa" w:w="7760"/>
            <w:shd w:fill="1F3864" w:val="clear"/>
          </w:tcPr>
          <w:p>
            <w:r>
              <w:rPr>
                <w:b/>
                <w:bCs/>
                <w:color w:val="FFFFFF"/>
              </w:rPr>
              <w:t xml:space="preserve">Design intent</w:t>
            </w:r>
          </w:p>
        </w:tc>
      </w:tr>
      <w:tr>
        <w:tc>
          <w:tcPr>
            <w:tcW w:type="dxa" w:w="1600"/>
          </w:tcPr>
          <w:p>
            <w:r>
              <w:rPr>
                <w:b w:val="false"/>
                <w:bCs w:val="false"/>
              </w:rPr>
              <w:t xml:space="preserve">Years 1–5</w:t>
            </w:r>
          </w:p>
        </w:tc>
        <w:tc>
          <w:tcPr>
            <w:tcW w:type="dxa" w:w="7760"/>
          </w:tcPr>
          <w:p>
            <w:r>
              <w:rPr>
                <w:b w:val="false"/>
                <w:bCs w:val="false"/>
              </w:rPr>
              <w:t xml:space="preserve">Both engines active. Aquifer fills. Four Rivers funded from Day 1 as designed. Seed repayment accumulates.</w:t>
            </w:r>
          </w:p>
        </w:tc>
      </w:tr>
      <w:tr>
        <w:tc>
          <w:tcPr>
            <w:tcW w:type="dxa" w:w="1600"/>
          </w:tcPr>
          <w:p>
            <w:r>
              <w:rPr>
                <w:b w:val="false"/>
                <w:bCs w:val="false"/>
              </w:rPr>
              <w:t xml:space="preserve">Year 5</w:t>
            </w:r>
          </w:p>
        </w:tc>
        <w:tc>
          <w:tcPr>
            <w:tcW w:type="dxa" w:w="7760"/>
          </w:tcPr>
          <w:p>
            <w:r>
              <w:rPr>
                <w:b w:val="false"/>
                <w:bCs w:val="false"/>
              </w:rPr>
              <w:t xml:space="preserve">Design threshold: 0.50R = $18.5M, seed fully repaid, government investment returned in full — if the model performs as designed.</w:t>
            </w:r>
          </w:p>
        </w:tc>
      </w:tr>
      <w:tr>
        <w:tc>
          <w:tcPr>
            <w:tcW w:type="dxa" w:w="1600"/>
          </w:tcPr>
          <w:p>
            <w:r>
              <w:rPr>
                <w:b w:val="false"/>
                <w:bCs w:val="false"/>
              </w:rPr>
              <w:t xml:space="preserve">Year 6+</w:t>
            </w:r>
          </w:p>
        </w:tc>
        <w:tc>
          <w:tcPr>
            <w:tcW w:type="dxa" w:w="7760"/>
          </w:tcPr>
          <w:p>
            <w:r>
              <w:rPr>
                <w:b w:val="false"/>
                <w:bCs w:val="false"/>
              </w:rPr>
              <w:t xml:space="preserve">Design intent: system runs on its own restoration revenue, Four Rivers funded permanently, no further government funding required.</w:t>
            </w:r>
          </w:p>
        </w:tc>
      </w:tr>
    </w:tbl>
    <w:p>
      <w:pPr>
        <w:pStyle w:val="Heading1"/>
        <w:spacing w:after="150" w:before="320"/>
      </w:pPr>
      <w:r>
        <w:t xml:space="preserve">Part 3 — The Mathematical Architecture</w:t>
      </w:r>
    </w:p>
    <w:p>
      <w:pPr>
        <w:spacing w:after="120"/>
      </w:pPr>
      <w:r>
        <w:t xml:space="preserve">Every equation below has been cross-checked for internal consistency across the document library, with corrections applied and logged where inconsistencies were found (see the Financial &amp; Value Guide's correction log for detail). Internal consistency is not the same as field validation — none of these equations have yet been tested against measured outcomes.</w:t>
      </w:r>
    </w:p>
    <w:p>
      <w:pPr>
        <w:pStyle w:val="Heading2"/>
        <w:spacing w:after="120" w:before="240"/>
      </w:pPr>
      <w:r>
        <w:t xml:space="preserve">3.1 The Human Value Function (W)</w:t>
      </w:r>
    </w:p>
    <w:p>
      <w:pPr>
        <w:spacing w:after="120"/>
      </w:pPr>
      <w:r>
        <w:rPr>
          <w:b/>
          <w:bCs/>
        </w:rPr>
        <w:t xml:space="preserve">W = (R + B + N + V + M + Gv + Fe + Fm) × Cs</w:t>
      </w:r>
    </w:p>
    <w:p>
      <w:pPr>
        <w:spacing w:after="120"/>
      </w:pPr>
      <w:r>
        <w:t xml:space="preserve">R=Resilience Index (ProQOL) · B=Boundary Clarity (SAF) · N=Neurochemical Balance (D.O.S.E./CEP) · V=Virtue Value (OCI) · M=Meaning Quotient (ProQOL) · Gv=Guest Virtue Score (peer/Elder observation) · Fe=Emotional Satisfaction (PSS) · Fm=Morality Alignment (BAT) · Cs=Secure Connection Multiplier (Secure=1.2, Developing=1.0, Disrupted=0.8).</w:t>
      </w:r>
    </w:p>
    <w:p>
      <w:pPr>
        <w:spacing w:after="120"/>
      </w:pPr>
      <w:r>
        <w:t xml:space="preserve">Conservative worked example: W = (10+5+8+7+10+5+5+5) × 1.2 = 66 Sovereign Units. A person entering the CCGBI at WHITE tier is projected to score W = 20–35; a GOLD tier Mother-Elder is projected to score W = 85–100 — projected ranges, not yet measured against an administered cohort.</w:t>
      </w:r>
    </w:p>
    <w:p>
      <w:pPr>
        <w:pStyle w:val="Heading2"/>
        <w:spacing w:after="120" w:before="240"/>
      </w:pPr>
      <w:r>
        <w:t xml:space="preserve">3.2 The Local Engine Value (V_Local)</w:t>
      </w:r>
    </w:p>
    <w:p>
      <w:pPr>
        <w:spacing w:after="120"/>
      </w:pPr>
      <w:r>
        <w:rPr>
          <w:b/>
          <w:bCs/>
        </w:rPr>
        <w:t xml:space="preserve">V_Local = [(ΔC + Gm) × NCF] ÷ ΔM</w:t>
      </w:r>
    </w:p>
    <w:p>
      <w:pPr>
        <w:spacing w:after="120"/>
      </w:pPr>
      <w:r>
        <w:t xml:space="preserve">ΔC=Cost Avoidance ($185,000 per Limbic Prison exit, conservative floor) · Gm=Green Multiplier (ecological value, MRV standard) · NCF=Neurochemical Flourishing Factor (default 1.1) · ΔM=Mayhem Reduction Factor (default 1.15).</w:t>
      </w:r>
    </w:p>
    <w:p>
      <w:pPr>
        <w:spacing w:after="120"/>
      </w:pPr>
      <w:r>
        <w:t xml:space="preserve">Conservative worked example: V_Local = [($50,000+$10,000) × 1.1] ÷ 1.15 = $57,391 per operating period.</w:t>
      </w:r>
    </w:p>
    <w:p>
      <w:pPr>
        <w:pStyle w:val="Heading2"/>
        <w:spacing w:after="120" w:before="240"/>
      </w:pPr>
      <w:r>
        <w:t xml:space="preserve">3.3 The Global Scaling Propeller (V_Global)</w:t>
      </w:r>
    </w:p>
    <w:p>
      <w:pPr>
        <w:spacing w:after="120"/>
      </w:pPr>
      <w:r>
        <w:rPr>
          <w:b/>
          <w:bCs/>
        </w:rPr>
        <w:t xml:space="preserve">V_Global = Σ(V_Local) × SRF^(H + ΔE)</w:t>
      </w:r>
    </w:p>
    <w:p>
      <w:pPr>
        <w:spacing w:after="120"/>
      </w:pPr>
      <w:r>
        <w:t xml:space="preserve">SRF=Societal Ripple Factor (conservative default 2.0, published range 2.0–4.5) · H=Horizon Index (default 1.0) · ΔE=Evolution Delta (default 0.1).</w:t>
      </w:r>
    </w:p>
    <w:p>
      <w:pPr>
        <w:spacing w:after="120"/>
      </w:pPr>
      <w:r>
        <w:t xml:space="preserve">Worked example: V_Global = $57,391 × 2.0^1.1 = $122,976 per node.</w:t>
      </w:r>
    </w:p>
    <w:p>
      <w:pPr>
        <w:pStyle w:val="Heading2"/>
        <w:spacing w:after="120" w:before="240"/>
      </w:pPr>
      <w:r>
        <w:t xml:space="preserve">3.4 The Generational Ripple (V_Gen)</w:t>
      </w:r>
    </w:p>
    <w:p>
      <w:pPr>
        <w:spacing w:after="120"/>
      </w:pPr>
      <w:r>
        <w:rPr>
          <w:b/>
          <w:bCs/>
        </w:rPr>
        <w:t xml:space="preserve">V_Gen = (Witnesses × Exposure_Time × Community_Pride) + Influence_Cascade</w:t>
      </w:r>
    </w:p>
    <w:p>
      <w:pPr>
        <w:spacing w:after="120"/>
      </w:pPr>
      <w:r>
        <w:t xml:space="preserve">Hypothetical worked example, placeholder inputs: 40 witnesses, Community Pride index 0.85, Influence Cascade 1.2 → V_Gen = (40×1.0×0.85)+1.2 = 35.2 sovereign units of intergenerational value — not financial, a designed intergenerational metric, not derived from any documented event.</w:t>
      </w:r>
    </w:p>
    <w:p>
      <w:pPr>
        <w:pStyle w:val="Heading2"/>
        <w:spacing w:after="120" w:before="240"/>
      </w:pPr>
      <w:r>
        <w:t xml:space="preserve">3.5 The Antifragility Proof (VVV Multiplier)</w:t>
      </w:r>
    </w:p>
    <w:p>
      <w:pPr>
        <w:spacing w:after="120"/>
      </w:pPr>
      <w:r>
        <w:rPr>
          <w:b/>
          <w:bCs/>
        </w:rPr>
        <w:t xml:space="preserve">ΔS_system = ΔS_external − (VVV × ΔS_sacrifice) = 0.15 − (3.16875 × 0.12) = −0.23025</w:t>
      </w:r>
    </w:p>
    <w:p>
      <w:pPr>
        <w:spacing w:after="120"/>
      </w:pPr>
      <w:r>
        <w:rPr>
          <w:i/>
          <w:iCs/>
        </w:rPr>
        <w:t xml:space="preserve">VVV is a designed integrity constant, not a statistically derived variable. ΔS_external and ΔS_sacrifice are illustrative placeholders pending pilot calibration — present only as a designed principle, never as empirical proof.</w:t>
      </w:r>
    </w:p>
    <w:p>
      <w:pPr>
        <w:pStyle w:val="Heading2"/>
        <w:spacing w:after="120" w:before="240"/>
      </w:pPr>
      <w:r>
        <w:t xml:space="preserve">3.6 The Reverse Revenue Calculation</w:t>
      </w:r>
    </w:p>
    <w:p>
      <w:pPr>
        <w:spacing w:after="120"/>
      </w:pPr>
      <w:r>
        <w:rPr>
          <w:b/>
          <w:bCs/>
        </w:rPr>
        <w:t xml:space="preserve">R = P ÷ 0.40</w:t>
      </w:r>
    </w:p>
    <w:p>
      <w:pPr>
        <w:spacing w:after="120"/>
      </w:pPr>
      <w:r>
        <w:t xml:space="preserve">Where R = required gross revenue and P = the living-wage income participants need. The income floor is designed to define minimum viable revenue, not the other way around.</w:t>
      </w:r>
    </w:p>
    <w:p>
      <w:pPr>
        <w:pStyle w:val="Heading2"/>
        <w:spacing w:after="120" w:before="240"/>
      </w:pPr>
      <w:r>
        <w:t xml:space="preserve">3.7 The Fishing Hole — Sovereign Manifestation Equation</w:t>
      </w:r>
    </w:p>
    <w:p>
      <w:pPr>
        <w:spacing w:after="120"/>
      </w:pPr>
      <w:r>
        <w:rPr>
          <w:b/>
          <w:bCs/>
        </w:rPr>
        <w:t xml:space="preserve">S_Sovereign = (Heart × Soul) + (E_tool × Physical) = (1.0×1.0) + creation = 1 + creation</w:t>
      </w:r>
    </w:p>
    <w:p>
      <w:pPr>
        <w:spacing w:after="120"/>
      </w:pPr>
      <w:r>
        <w:rPr>
          <w:i/>
          <w:iCs/>
        </w:rPr>
        <w:t xml:space="preserve">The terminal, non-financial equation describing the framework's designed end-state — not an economic output or clinical score.</w:t>
      </w:r>
    </w:p>
    <w:p>
      <w:pPr>
        <w:pStyle w:val="Heading1"/>
        <w:spacing w:after="150" w:before="320"/>
      </w:pPr>
      <w:r>
        <w:t xml:space="preserve">Part 4 — The Clinical Architecture</w:t>
      </w:r>
    </w:p>
    <w:p>
      <w:pPr>
        <w:pStyle w:val="Heading2"/>
        <w:spacing w:after="120" w:before="240"/>
      </w:pPr>
      <w:r>
        <w:t xml:space="preserve">4.1 The G.A.P.S. Framework</w:t>
      </w:r>
    </w:p>
    <w:p>
      <w:pPr>
        <w:spacing w:after="120"/>
      </w:pPr>
      <w:r>
        <w:t xml:space="preserve">Gratitude, Acceptance, Presence, Surrender — a practice architecture mapped to a designed neurochemical healing cascade. It is not a therapy and does not require a licensed clinician to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shd w:fill="1F3864" w:val="clear"/>
          </w:tcPr>
          <w:p>
            <w:r>
              <w:rPr>
                <w:b/>
                <w:bCs/>
                <w:color w:val="FFFFFF"/>
              </w:rPr>
              <w:t xml:space="preserve">Capacity</w:t>
            </w:r>
          </w:p>
        </w:tc>
        <w:tc>
          <w:tcPr>
            <w:tcW w:type="dxa" w:w="4160"/>
            <w:shd w:fill="1F3864" w:val="clear"/>
          </w:tcPr>
          <w:p>
            <w:r>
              <w:rPr>
                <w:b/>
                <w:bCs/>
                <w:color w:val="FFFFFF"/>
              </w:rPr>
              <w:t xml:space="preserve">Neurochemical Function</w:t>
            </w:r>
          </w:p>
        </w:tc>
        <w:tc>
          <w:tcPr>
            <w:tcW w:type="dxa" w:w="3600"/>
            <w:shd w:fill="1F3864" w:val="clear"/>
          </w:tcPr>
          <w:p>
            <w:r>
              <w:rPr>
                <w:b/>
                <w:bCs/>
                <w:color w:val="FFFFFF"/>
              </w:rPr>
              <w:t xml:space="preserve">Practical Tool</w:t>
            </w:r>
          </w:p>
        </w:tc>
      </w:tr>
      <w:tr>
        <w:tc>
          <w:tcPr>
            <w:tcW w:type="dxa" w:w="1600"/>
          </w:tcPr>
          <w:p>
            <w:r>
              <w:rPr>
                <w:b w:val="false"/>
                <w:bCs w:val="false"/>
              </w:rPr>
              <w:t xml:space="preserve">Gratitude</w:t>
            </w:r>
          </w:p>
        </w:tc>
        <w:tc>
          <w:tcPr>
            <w:tcW w:type="dxa" w:w="4160"/>
          </w:tcPr>
          <w:p>
            <w:r>
              <w:rPr>
                <w:b w:val="false"/>
                <w:bCs w:val="false"/>
              </w:rPr>
              <w:t xml:space="preserve">Serotonin + oxytocin activation, designed to break the scarcity loop</w:t>
            </w:r>
          </w:p>
        </w:tc>
        <w:tc>
          <w:tcPr>
            <w:tcW w:type="dxa" w:w="3600"/>
          </w:tcPr>
          <w:p>
            <w:r>
              <w:rPr>
                <w:b w:val="false"/>
                <w:bCs w:val="false"/>
              </w:rPr>
              <w:t xml:space="preserve">Morning Beacon Huddle — one spoken appreciation before eating</w:t>
            </w:r>
          </w:p>
        </w:tc>
      </w:tr>
      <w:tr>
        <w:tc>
          <w:tcPr>
            <w:tcW w:type="dxa" w:w="1600"/>
          </w:tcPr>
          <w:p>
            <w:r>
              <w:rPr>
                <w:b w:val="false"/>
                <w:bCs w:val="false"/>
              </w:rPr>
              <w:t xml:space="preserve">Acceptance</w:t>
            </w:r>
          </w:p>
        </w:tc>
        <w:tc>
          <w:tcPr>
            <w:tcW w:type="dxa" w:w="4160"/>
          </w:tcPr>
          <w:p>
            <w:r>
              <w:rPr>
                <w:b w:val="false"/>
                <w:bCs w:val="false"/>
              </w:rPr>
              <w:t xml:space="preserve">Observer stance, prefrontal cortex over limbic reactivity</w:t>
            </w:r>
          </w:p>
        </w:tc>
        <w:tc>
          <w:tcPr>
            <w:tcW w:type="dxa" w:w="3600"/>
          </w:tcPr>
          <w:p>
            <w:r>
              <w:rPr>
                <w:b w:val="false"/>
                <w:bCs w:val="false"/>
              </w:rPr>
              <w:t xml:space="preserve">Fish Bowl Method: "There's [x] swimming in the bowl."</w:t>
            </w:r>
          </w:p>
        </w:tc>
      </w:tr>
      <w:tr>
        <w:tc>
          <w:tcPr>
            <w:tcW w:type="dxa" w:w="1600"/>
          </w:tcPr>
          <w:p>
            <w:r>
              <w:rPr>
                <w:b w:val="false"/>
                <w:bCs w:val="false"/>
              </w:rPr>
              <w:t xml:space="preserve">Presence</w:t>
            </w:r>
          </w:p>
        </w:tc>
        <w:tc>
          <w:tcPr>
            <w:tcW w:type="dxa" w:w="4160"/>
          </w:tcPr>
          <w:p>
            <w:r>
              <w:rPr>
                <w:b w:val="false"/>
                <w:bCs w:val="false"/>
              </w:rPr>
              <w:t xml:space="preserve">The Sacred Pause — gap between stimulus and response</w:t>
            </w:r>
          </w:p>
        </w:tc>
        <w:tc>
          <w:tcPr>
            <w:tcW w:type="dxa" w:w="3600"/>
          </w:tcPr>
          <w:p>
            <w:r>
              <w:rPr>
                <w:b w:val="false"/>
                <w:bCs w:val="false"/>
              </w:rPr>
              <w:t xml:space="preserve">4-in, 6-out breathing ×3. 5-4-3-2-1 Ground.</w:t>
            </w:r>
          </w:p>
        </w:tc>
      </w:tr>
      <w:tr>
        <w:tc>
          <w:tcPr>
            <w:tcW w:type="dxa" w:w="1600"/>
          </w:tcPr>
          <w:p>
            <w:r>
              <w:rPr>
                <w:b w:val="false"/>
                <w:bCs w:val="false"/>
              </w:rPr>
              <w:t xml:space="preserve">Surrender</w:t>
            </w:r>
          </w:p>
        </w:tc>
        <w:tc>
          <w:tcPr>
            <w:tcW w:type="dxa" w:w="4160"/>
          </w:tcPr>
          <w:p>
            <w:r>
              <w:rPr>
                <w:b w:val="false"/>
                <w:bCs w:val="false"/>
              </w:rPr>
              <w:t xml:space="preserve">Parasympathetic dominance, release of what was never yours</w:t>
            </w:r>
          </w:p>
        </w:tc>
        <w:tc>
          <w:tcPr>
            <w:tcW w:type="dxa" w:w="3600"/>
          </w:tcPr>
          <w:p>
            <w:r>
              <w:rPr>
                <w:b w:val="false"/>
                <w:bCs w:val="false"/>
              </w:rPr>
              <w:t xml:space="preserve">Rule of One. Lighthouse stance. Return Protocol.</w:t>
            </w:r>
          </w:p>
        </w:tc>
      </w:tr>
    </w:tbl>
    <w:p>
      <w:pPr>
        <w:pStyle w:val="Heading2"/>
        <w:spacing w:after="120" w:before="240"/>
      </w:pPr>
      <w:r>
        <w:t xml:space="preserve">4.2 The D.O.S.E. Neurochemical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shd w:fill="1F3864" w:val="clear"/>
          </w:tcPr>
          <w:p>
            <w:r>
              <w:rPr>
                <w:b/>
                <w:bCs/>
                <w:color w:val="FFFFFF"/>
              </w:rPr>
              <w:t xml:space="preserve">Chemical</w:t>
            </w:r>
          </w:p>
        </w:tc>
        <w:tc>
          <w:tcPr>
            <w:tcW w:type="dxa" w:w="3760"/>
            <w:shd w:fill="1F3864" w:val="clear"/>
          </w:tcPr>
          <w:p>
            <w:r>
              <w:rPr>
                <w:b/>
                <w:bCs/>
                <w:color w:val="FFFFFF"/>
              </w:rPr>
              <w:t xml:space="preserve">What It's Designed to Deliver</w:t>
            </w:r>
          </w:p>
        </w:tc>
        <w:tc>
          <w:tcPr>
            <w:tcW w:type="dxa" w:w="4000"/>
            <w:shd w:fill="1F3864" w:val="clear"/>
          </w:tcPr>
          <w:p>
            <w:r>
              <w:rPr>
                <w:b/>
                <w:bCs/>
                <w:color w:val="FFFFFF"/>
              </w:rPr>
              <w:t xml:space="preserve">MASH Camp Activity</w:t>
            </w:r>
          </w:p>
        </w:tc>
      </w:tr>
      <w:tr>
        <w:tc>
          <w:tcPr>
            <w:tcW w:type="dxa" w:w="1600"/>
          </w:tcPr>
          <w:p>
            <w:r>
              <w:rPr>
                <w:b w:val="false"/>
                <w:bCs w:val="false"/>
              </w:rPr>
              <w:t xml:space="preserve">Dopamine</w:t>
            </w:r>
          </w:p>
        </w:tc>
        <w:tc>
          <w:tcPr>
            <w:tcW w:type="dxa" w:w="3760"/>
          </w:tcPr>
          <w:p>
            <w:r>
              <w:rPr>
                <w:b w:val="false"/>
                <w:bCs w:val="false"/>
              </w:rPr>
              <w:t xml:space="preserve">Progress, mastery, completable tasks</w:t>
            </w:r>
          </w:p>
        </w:tc>
        <w:tc>
          <w:tcPr>
            <w:tcW w:type="dxa" w:w="4000"/>
          </w:tcPr>
          <w:p>
            <w:r>
              <w:rPr>
                <w:b w:val="false"/>
                <w:bCs w:val="false"/>
              </w:rPr>
              <w:t xml:space="preserve">Building lean-tos, clearing land, completing the day's work</w:t>
            </w:r>
          </w:p>
        </w:tc>
      </w:tr>
      <w:tr>
        <w:tc>
          <w:tcPr>
            <w:tcW w:type="dxa" w:w="1600"/>
          </w:tcPr>
          <w:p>
            <w:r>
              <w:rPr>
                <w:b w:val="false"/>
                <w:bCs w:val="false"/>
              </w:rPr>
              <w:t xml:space="preserve">Oxytocin</w:t>
            </w:r>
          </w:p>
        </w:tc>
        <w:tc>
          <w:tcPr>
            <w:tcW w:type="dxa" w:w="3760"/>
          </w:tcPr>
          <w:p>
            <w:r>
              <w:rPr>
                <w:b w:val="false"/>
                <w:bCs w:val="false"/>
              </w:rPr>
              <w:t xml:space="preserve">Connection, belonging, being witnessed</w:t>
            </w:r>
          </w:p>
        </w:tc>
        <w:tc>
          <w:tcPr>
            <w:tcW w:type="dxa" w:w="4000"/>
          </w:tcPr>
          <w:p>
            <w:r>
              <w:rPr>
                <w:b w:val="false"/>
                <w:bCs w:val="false"/>
              </w:rPr>
              <w:t xml:space="preserve">Communal meals, buddy debriefs, the fire circle</w:t>
            </w:r>
          </w:p>
        </w:tc>
      </w:tr>
      <w:tr>
        <w:tc>
          <w:tcPr>
            <w:tcW w:type="dxa" w:w="1600"/>
          </w:tcPr>
          <w:p>
            <w:r>
              <w:rPr>
                <w:b w:val="false"/>
                <w:bCs w:val="false"/>
              </w:rPr>
              <w:t xml:space="preserve">Serotonin</w:t>
            </w:r>
          </w:p>
        </w:tc>
        <w:tc>
          <w:tcPr>
            <w:tcW w:type="dxa" w:w="3760"/>
          </w:tcPr>
          <w:p>
            <w:r>
              <w:rPr>
                <w:b w:val="false"/>
                <w:bCs w:val="false"/>
              </w:rPr>
              <w:t xml:space="preserve">Rhythm, recognition, earned respect</w:t>
            </w:r>
          </w:p>
        </w:tc>
        <w:tc>
          <w:tcPr>
            <w:tcW w:type="dxa" w:w="4000"/>
          </w:tcPr>
          <w:p>
            <w:r>
              <w:rPr>
                <w:b w:val="false"/>
                <w:bCs w:val="false"/>
              </w:rPr>
              <w:t xml:space="preserve">Waking with the sun, regular meals, badge ceremony</w:t>
            </w:r>
          </w:p>
        </w:tc>
      </w:tr>
      <w:tr>
        <w:tc>
          <w:tcPr>
            <w:tcW w:type="dxa" w:w="1600"/>
          </w:tcPr>
          <w:p>
            <w:r>
              <w:rPr>
                <w:b w:val="false"/>
                <w:bCs w:val="false"/>
              </w:rPr>
              <w:t xml:space="preserve">Endorphins</w:t>
            </w:r>
          </w:p>
        </w:tc>
        <w:tc>
          <w:tcPr>
            <w:tcW w:type="dxa" w:w="3760"/>
          </w:tcPr>
          <w:p>
            <w:r>
              <w:rPr>
                <w:b w:val="false"/>
                <w:bCs w:val="false"/>
              </w:rPr>
              <w:t xml:space="preserve">Physical exertion, laughter, joy</w:t>
            </w:r>
          </w:p>
        </w:tc>
        <w:tc>
          <w:tcPr>
            <w:tcW w:type="dxa" w:w="4000"/>
          </w:tcPr>
          <w:p>
            <w:r>
              <w:rPr>
                <w:b w:val="false"/>
                <w:bCs w:val="false"/>
              </w:rPr>
              <w:t xml:space="preserve">Boxing, dancing, drumming, heavy bag work</w:t>
            </w:r>
          </w:p>
        </w:tc>
      </w:tr>
    </w:tbl>
    <w:p>
      <w:pPr>
        <w:pStyle w:val="Heading2"/>
        <w:spacing w:after="120" w:before="240"/>
      </w:pPr>
      <w:r>
        <w:t xml:space="preserve">4.3 Integration with Established Clinical Frameworks</w:t>
      </w:r>
    </w:p>
    <w:p>
      <w:pPr>
        <w:spacing w:after="120"/>
      </w:pPr>
      <w:r>
        <w:t xml:space="preserve">CENAPS (Gorski, 2013): operationalized through the 12 Blocks interruption architecture. PAWS (Gorski, 2013; Witkiewitz &amp; Marlatt, 2004): seven neurological hurdles psychoeducated via the PAWS Interruption Book. Motivational Interviewing (Miller &amp; Rollnick, 2023): mapped to MI's four spirit elements. HALT: built into every check-in.</w:t>
      </w:r>
    </w:p>
    <w:p>
      <w:pPr>
        <w:pStyle w:val="Heading2"/>
        <w:spacing w:after="120" w:before="240"/>
      </w:pPr>
      <w:r>
        <w:t xml:space="preserve">4.4 Pearls From Perils™ — The Shame Protocol</w:t>
      </w:r>
    </w:p>
    <w:p>
      <w:pPr>
        <w:spacing w:after="120"/>
      </w:pPr>
      <w:r>
        <w:t xml:space="preserve">Lane 4 of the G.A.P.S. by HALO system — the relapse reframe and re-entry protocol, treating relapse as data, not failure. The R4 Framework: Rescue (establish safety) → Relapse Appreciation (map the data) → Regroup (audit what's intact) → Reframe (name the pearl).</w:t>
      </w:r>
    </w:p>
    <w:p>
      <w:pPr>
        <w:pStyle w:val="Heading2"/>
        <w:spacing w:after="120" w:before="240"/>
      </w:pPr>
      <w:r>
        <w:t xml:space="preserve">4.5 The 12 Blocks</w:t>
      </w:r>
    </w:p>
    <w:p>
      <w:pPr>
        <w:spacing w:after="120"/>
      </w:pPr>
      <w:r>
        <w:t xml:space="preserve">Drawn from Gorski's CENAPS warning sign phases, each Block is mapped to a specific G.A.P.S. tool — from The Drift (Gratitude) through The Fall (Surrender).</w:t>
      </w:r>
    </w:p>
    <w:p>
      <w:pPr>
        <w:pStyle w:val="Heading1"/>
        <w:spacing w:after="150" w:before="320"/>
      </w:pPr>
      <w:r>
        <w:t xml:space="preserve">Part 5 — The Governance and Sovereignty Architecture</w:t>
      </w:r>
    </w:p>
    <w:p>
      <w:pPr>
        <w:pStyle w:val="Heading2"/>
        <w:spacing w:after="120" w:before="240"/>
      </w:pPr>
      <w:r>
        <w:t xml:space="preserve">5.1 The Trinity Partnership — 33/33/33/1%</w:t>
      </w:r>
    </w:p>
    <w:p>
      <w:pPr>
        <w:spacing w:after="120"/>
      </w:pPr>
      <w:r>
        <w:t xml:space="preserve">Designed as both governance authority and profit distribution equally: First Nations (33%, sovereign design authority, veto over land-use decisions), Catholic Church (33%, circulatory infrastructure), Government of Canada (33%, anchor customer and seed investor), Framework Architect (1%, firmware maintenance and integrity service, capped royalty documented in the Hodge Gate).</w:t>
      </w:r>
    </w:p>
    <w:p>
      <w:pPr>
        <w:pStyle w:val="Heading2"/>
        <w:spacing w:after="120" w:before="240"/>
      </w:pPr>
      <w:r>
        <w:t xml:space="preserve">5.2 The Antifragility Gates</w:t>
      </w:r>
    </w:p>
    <w:p>
      <w:pPr>
        <w:spacing w:after="120"/>
      </w:pPr>
      <w:r>
        <w:t xml:space="preserve">Gate I — VVV (Verification, Validation, Vivification): a three-stage integrity check for every proposed action. Gate II — Hodge (Harmonic Order through Distributed Governance Equilibrium): a structural stability test against disproportionate power accumulation. Gate III — Mayhem: a deliberate stress-test protocol before major expansion.</w:t>
      </w:r>
    </w:p>
    <w:p>
      <w:pPr>
        <w:pStyle w:val="Heading2"/>
        <w:spacing w:after="120" w:before="240"/>
      </w:pPr>
      <w:r>
        <w:t xml:space="preserve">5.3–5.6 Additional Governance Mechanisms</w:t>
      </w:r>
    </w:p>
    <w:p>
      <w:pPr>
        <w:spacing w:after="120"/>
      </w:pPr>
      <w:r>
        <w:t xml:space="preserve">The Lest We Forget Gate (anti-extraction firewall), the 90-Day Stop/Adjust Rule (no node fails — intervention within 90 days, Justice Floor maintained from Aquifer reserves if needed), the Prodigal Son Protocol (unconditional welcome back for any participant), and the Saint Christopher Handshake (data sovereignty — mutual observation, never extraction, no surveillance, no predictive policing).</w:t>
      </w:r>
    </w:p>
    <w:p>
      <w:pPr>
        <w:pStyle w:val="Heading2"/>
        <w:spacing w:after="120" w:before="240"/>
      </w:pPr>
      <w:r>
        <w:t xml:space="preserve">5.7 Indigenous Traditional Knowledge Protocol Alignment</w:t>
      </w:r>
    </w:p>
    <w:p>
      <w:pPr>
        <w:spacing w:after="120"/>
      </w:pPr>
      <w:r>
        <w:t xml:space="preserve">Structurally aligned with the Chiefs of Ontario Environmental Assessment Toolkit: Indigenous Authority and Control (TEK remains 100% under Nation authority), TK Is Not Consultation, Protocol Precedence, Protection/Confidentiality/Storage, and the Prodigal Son Protocol for Nations (any Nation may withdraw at any time without penalty).</w:t>
      </w:r>
    </w:p>
    <w:p>
      <w:pPr>
        <w:pStyle w:val="Heading1"/>
        <w:spacing w:after="150" w:before="320"/>
      </w:pPr>
      <w:r>
        <w:t xml:space="preserve">Part 6 — The Operational Models</w:t>
      </w:r>
    </w:p>
    <w:p>
      <w:pPr>
        <w:pStyle w:val="Heading2"/>
        <w:spacing w:after="120" w:before="240"/>
      </w:pPr>
      <w:r>
        <w:t xml:space="preserve">6.1 The MASH Antifragile Recovery Camp (Design — Not Yet Piloted)</w:t>
      </w:r>
    </w:p>
    <w:p>
      <w:pPr>
        <w:spacing w:after="120"/>
      </w:pPr>
      <w:r>
        <w:t xml:space="preserve">A designed mobile, land-based, peer-supported recovery community. Design parameters: 200 residents per 4-month cycle, 3 cycles/year (600/year), $7,500 per person per stay, peer coaching only (no on-site clinical treatment), 8+2 node structure (8 residents + 2 peer-mentor Controllers per 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r>
              <w:rPr>
                <w:b/>
                <w:bCs/>
                <w:color w:val="FFFFFF"/>
              </w:rPr>
              <w:t xml:space="preserve">Metric</w:t>
            </w:r>
          </w:p>
        </w:tc>
        <w:tc>
          <w:tcPr>
            <w:tcW w:type="dxa" w:w="4680"/>
            <w:shd w:fill="1F3864" w:val="clear"/>
          </w:tcPr>
          <w:p>
            <w:r>
              <w:rPr>
                <w:b/>
                <w:bCs/>
                <w:color w:val="FFFFFF"/>
              </w:rPr>
              <w:t xml:space="preserve">Projected value</w:t>
            </w:r>
          </w:p>
        </w:tc>
      </w:tr>
      <w:tr>
        <w:tc>
          <w:tcPr>
            <w:tcW w:type="dxa" w:w="4680"/>
          </w:tcPr>
          <w:p>
            <w:r>
              <w:rPr>
                <w:b w:val="false"/>
                <w:bCs w:val="false"/>
              </w:rPr>
              <w:t xml:space="preserve">Annual Path A cost (600 people, status quo)</w:t>
            </w:r>
          </w:p>
        </w:tc>
        <w:tc>
          <w:tcPr>
            <w:tcW w:type="dxa" w:w="4680"/>
          </w:tcPr>
          <w:p>
            <w:r>
              <w:rPr>
                <w:b w:val="false"/>
                <w:bCs w:val="false"/>
              </w:rPr>
              <w:t xml:space="preserve">$72,000,000 (projected)</w:t>
            </w:r>
          </w:p>
        </w:tc>
      </w:tr>
      <w:tr>
        <w:tc>
          <w:tcPr>
            <w:tcW w:type="dxa" w:w="4680"/>
          </w:tcPr>
          <w:p>
            <w:r>
              <w:rPr>
                <w:b w:val="false"/>
                <w:bCs w:val="false"/>
              </w:rPr>
              <w:t xml:space="preserve">Annual MASH cost (600 people)</w:t>
            </w:r>
          </w:p>
        </w:tc>
        <w:tc>
          <w:tcPr>
            <w:tcW w:type="dxa" w:w="4680"/>
          </w:tcPr>
          <w:p>
            <w:r>
              <w:rPr>
                <w:b w:val="false"/>
                <w:bCs w:val="false"/>
              </w:rPr>
              <w:t xml:space="preserve">$6,500,000 (projected)</w:t>
            </w:r>
          </w:p>
        </w:tc>
      </w:tr>
      <w:tr>
        <w:tc>
          <w:tcPr>
            <w:tcW w:type="dxa" w:w="4680"/>
          </w:tcPr>
          <w:p>
            <w:r>
              <w:rPr>
                <w:b w:val="false"/>
                <w:bCs w:val="false"/>
              </w:rPr>
              <w:t xml:space="preserve">Year 1 projected saving</w:t>
            </w:r>
          </w:p>
        </w:tc>
        <w:tc>
          <w:tcPr>
            <w:tcW w:type="dxa" w:w="4680"/>
          </w:tcPr>
          <w:p>
            <w:r>
              <w:rPr>
                <w:b w:val="false"/>
                <w:bCs w:val="false"/>
              </w:rPr>
              <w:t xml:space="preserve">$65,500,000</w:t>
            </w:r>
          </w:p>
        </w:tc>
      </w:tr>
      <w:tr>
        <w:tc>
          <w:tcPr>
            <w:tcW w:type="dxa" w:w="4680"/>
          </w:tcPr>
          <w:p>
            <w:r>
              <w:rPr>
                <w:b w:val="false"/>
                <w:bCs w:val="false"/>
              </w:rPr>
              <w:t xml:space="preserve">Projected ROI</w:t>
            </w:r>
          </w:p>
        </w:tc>
        <w:tc>
          <w:tcPr>
            <w:tcW w:type="dxa" w:w="4680"/>
          </w:tcPr>
          <w:p>
            <w:r>
              <w:rPr>
                <w:b w:val="false"/>
                <w:bCs w:val="false"/>
              </w:rPr>
              <w:t xml:space="preserve">18.7:1</w:t>
            </w:r>
          </w:p>
        </w:tc>
      </w:tr>
      <w:tr>
        <w:tc>
          <w:tcPr>
            <w:tcW w:type="dxa" w:w="4680"/>
          </w:tcPr>
          <w:p>
            <w:r>
              <w:rPr>
                <w:b w:val="false"/>
                <w:bCs w:val="false"/>
              </w:rPr>
              <w:t xml:space="preserve">Pilot funding requested</w:t>
            </w:r>
          </w:p>
        </w:tc>
        <w:tc>
          <w:tcPr>
            <w:tcW w:type="dxa" w:w="4680"/>
          </w:tcPr>
          <w:p>
            <w:r>
              <w:rPr>
                <w:b w:val="false"/>
                <w:bCs w:val="false"/>
              </w:rPr>
              <w:t xml:space="preserve">$3,500,000 CAD — not yet secured</w:t>
            </w:r>
          </w:p>
        </w:tc>
      </w:tr>
    </w:tbl>
    <w:p>
      <w:pPr>
        <w:pStyle w:val="Heading2"/>
        <w:spacing w:after="120" w:before="240"/>
      </w:pPr>
      <w:r>
        <w:t xml:space="preserve">6.2 GSRT Earthworks — Gaining Ground (Design — Not Yet Piloted)</w:t>
      </w:r>
    </w:p>
    <w:p>
      <w:pPr>
        <w:spacing w:after="120"/>
      </w:pPr>
      <w:r>
        <w:t xml:space="preserve">Design: 200 workers at $22/hour from Day 1, 20 nodes of 8+2, 40km Don River corridor over 60-day sweeps.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r>
              <w:rPr>
                <w:b/>
                <w:bCs/>
                <w:color w:val="FFFFFF"/>
              </w:rPr>
              <w:t xml:space="preserve">Metric</w:t>
            </w:r>
          </w:p>
        </w:tc>
        <w:tc>
          <w:tcPr>
            <w:tcW w:type="dxa" w:w="4680"/>
            <w:shd w:fill="1F3864" w:val="clear"/>
          </w:tcPr>
          <w:p>
            <w:r>
              <w:rPr>
                <w:b/>
                <w:bCs/>
                <w:color w:val="FFFFFF"/>
              </w:rPr>
              <w:t xml:space="preserve">Projected value</w:t>
            </w:r>
          </w:p>
        </w:tc>
      </w:tr>
      <w:tr>
        <w:tc>
          <w:tcPr>
            <w:tcW w:type="dxa" w:w="4680"/>
          </w:tcPr>
          <w:p>
            <w:r>
              <w:rPr>
                <w:b w:val="false"/>
                <w:bCs w:val="false"/>
              </w:rPr>
              <w:t xml:space="preserve">Status quo cost (200 people × $120,000 × 60/365)</w:t>
            </w:r>
          </w:p>
        </w:tc>
        <w:tc>
          <w:tcPr>
            <w:tcW w:type="dxa" w:w="4680"/>
          </w:tcPr>
          <w:p>
            <w:r>
              <w:rPr>
                <w:b w:val="false"/>
                <w:bCs w:val="false"/>
              </w:rPr>
              <w:t xml:space="preserve">$3,945,000 (projected)</w:t>
            </w:r>
          </w:p>
        </w:tc>
      </w:tr>
      <w:tr>
        <w:tc>
          <w:tcPr>
            <w:tcW w:type="dxa" w:w="4680"/>
          </w:tcPr>
          <w:p>
            <w:r>
              <w:rPr>
                <w:b w:val="false"/>
                <w:bCs w:val="false"/>
              </w:rPr>
              <w:t xml:space="preserve">GSRT Earthworks pilot cost</w:t>
            </w:r>
          </w:p>
        </w:tc>
        <w:tc>
          <w:tcPr>
            <w:tcW w:type="dxa" w:w="4680"/>
          </w:tcPr>
          <w:p>
            <w:r>
              <w:rPr>
                <w:b w:val="false"/>
                <w:bCs w:val="false"/>
              </w:rPr>
              <w:t xml:space="preserve">$1,748,000 (projected)</w:t>
            </w:r>
          </w:p>
        </w:tc>
      </w:tr>
      <w:tr>
        <w:tc>
          <w:tcPr>
            <w:tcW w:type="dxa" w:w="4680"/>
          </w:tcPr>
          <w:p>
            <w:r>
              <w:rPr>
                <w:b w:val="false"/>
                <w:bCs w:val="false"/>
              </w:rPr>
              <w:t xml:space="preserve">Net projected savings</w:t>
            </w:r>
          </w:p>
        </w:tc>
        <w:tc>
          <w:tcPr>
            <w:tcW w:type="dxa" w:w="4680"/>
          </w:tcPr>
          <w:p>
            <w:r>
              <w:rPr>
                <w:b w:val="false"/>
                <w:bCs w:val="false"/>
              </w:rPr>
              <w:t xml:space="preserve">$2,197,000</w:t>
            </w:r>
          </w:p>
        </w:tc>
      </w:tr>
      <w:tr>
        <w:tc>
          <w:tcPr>
            <w:tcW w:type="dxa" w:w="4680"/>
          </w:tcPr>
          <w:p>
            <w:r>
              <w:rPr>
                <w:b w:val="false"/>
                <w:bCs w:val="false"/>
              </w:rPr>
              <w:t xml:space="preserve">Projected break-even</w:t>
            </w:r>
          </w:p>
        </w:tc>
        <w:tc>
          <w:tcPr>
            <w:tcW w:type="dxa" w:w="4680"/>
          </w:tcPr>
          <w:p>
            <w:r>
              <w:rPr>
                <w:b w:val="false"/>
                <w:bCs w:val="false"/>
              </w:rPr>
              <w:t xml:space="preserve">Day 120</w:t>
            </w:r>
          </w:p>
        </w:tc>
      </w:tr>
    </w:tbl>
    <w:p>
      <w:pPr>
        <w:pStyle w:val="Heading2"/>
        <w:spacing w:after="120" w:before="240"/>
      </w:pPr>
      <w:r>
        <w:t xml:space="preserve">6.3 The Don River Plug Scenario — Illustrative Response Model</w:t>
      </w:r>
    </w:p>
    <w:p>
      <w:pPr>
        <w:spacing w:after="120"/>
      </w:pPr>
      <w:r>
        <w:t xml:space="preserve">A hypothetical debris-plug scenario used to illustrate the operational value of an already-deployed Earthworks crew: 200 workers, 16-day operation, projected deployment cost $550,000 against an alternative cost of tens of millions in emergency response, property claims, and infrastructure repair. This is a modeled scenario, not a documented event.</w:t>
      </w:r>
    </w:p>
    <w:p>
      <w:pPr>
        <w:pStyle w:val="Heading1"/>
        <w:spacing w:after="150" w:before="320"/>
      </w:pPr>
      <w:r>
        <w:t xml:space="preserve">Part 7 — Academic Record</w:t>
      </w:r>
    </w:p>
    <w:p>
      <w:pPr>
        <w:spacing w:after="120"/>
      </w:pPr>
      <w:r>
        <w:t xml:space="preserve">Addiction Worker Diploma — TriOS College (CACCF-recognized). Overall GPA: 92%. The following is per-course grades and instructor feedback, individually attributed — no single quote below should be read as representing more than one course or one instructor.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shd w:fill="1F3864" w:val="clear"/>
          </w:tcPr>
          <w:p>
            <w:r>
              <w:rPr>
                <w:b/>
                <w:bCs/>
                <w:color w:val="FFFFFF"/>
              </w:rPr>
              <w:t xml:space="preserve">Course</w:t>
            </w:r>
          </w:p>
        </w:tc>
        <w:tc>
          <w:tcPr>
            <w:tcW w:type="dxa" w:w="1200"/>
            <w:shd w:fill="1F3864" w:val="clear"/>
          </w:tcPr>
          <w:p>
            <w:r>
              <w:rPr>
                <w:b/>
                <w:bCs/>
                <w:color w:val="FFFFFF"/>
              </w:rPr>
              <w:t xml:space="preserve">Grade</w:t>
            </w:r>
          </w:p>
        </w:tc>
        <w:tc>
          <w:tcPr>
            <w:tcW w:type="dxa" w:w="4960"/>
            <w:shd w:fill="1F3864" w:val="clear"/>
          </w:tcPr>
          <w:p>
            <w:r>
              <w:rPr>
                <w:b/>
                <w:bCs/>
                <w:color w:val="FFFFFF"/>
              </w:rPr>
              <w:t xml:space="preserve">Instructor feedback (verbatim, this course only)</w:t>
            </w:r>
          </w:p>
        </w:tc>
      </w:tr>
      <w:tr>
        <w:tc>
          <w:tcPr>
            <w:tcW w:type="dxa" w:w="3200"/>
          </w:tcPr>
          <w:p>
            <w:r>
              <w:rPr>
                <w:b w:val="false"/>
                <w:bCs w:val="false"/>
              </w:rPr>
              <w:t xml:space="preserve">Intake, Assessment &amp; Interviewing</w:t>
            </w:r>
          </w:p>
        </w:tc>
        <w:tc>
          <w:tcPr>
            <w:tcW w:type="dxa" w:w="1200"/>
          </w:tcPr>
          <w:p>
            <w:r>
              <w:rPr>
                <w:b w:val="false"/>
                <w:bCs w:val="false"/>
              </w:rPr>
              <w:t xml:space="preserve">95%</w:t>
            </w:r>
          </w:p>
        </w:tc>
        <w:tc>
          <w:tcPr>
            <w:tcW w:type="dxa" w:w="4960"/>
          </w:tcPr>
          <w:p>
            <w:r>
              <w:rPr>
                <w:b w:val="false"/>
                <w:bCs w:val="false"/>
              </w:rPr>
              <w:t xml:space="preserve">"Sophisticated and accurate understanding... outstanding... high level of competency and professional maturity"</w:t>
            </w:r>
          </w:p>
        </w:tc>
      </w:tr>
      <w:tr>
        <w:tc>
          <w:tcPr>
            <w:tcW w:type="dxa" w:w="3200"/>
          </w:tcPr>
          <w:p>
            <w:r>
              <w:rPr>
                <w:b w:val="false"/>
                <w:bCs w:val="false"/>
              </w:rPr>
              <w:t xml:space="preserve">Introduction to Cognitive Behavioural Theory</w:t>
            </w:r>
          </w:p>
        </w:tc>
        <w:tc>
          <w:tcPr>
            <w:tcW w:type="dxa" w:w="1200"/>
          </w:tcPr>
          <w:p>
            <w:r>
              <w:rPr>
                <w:b w:val="false"/>
                <w:bCs w:val="false"/>
              </w:rPr>
              <w:t xml:space="preserve">100%</w:t>
            </w:r>
          </w:p>
        </w:tc>
        <w:tc>
          <w:tcPr>
            <w:tcW w:type="dxa" w:w="4960"/>
          </w:tcPr>
          <w:p>
            <w:r>
              <w:rPr>
                <w:b w:val="false"/>
                <w:bCs w:val="false"/>
              </w:rPr>
              <w:t xml:space="preserve">"Excellent work. Your submission is comprehensive, clinically sophisticated, and ready for real agency use."</w:t>
            </w:r>
          </w:p>
        </w:tc>
      </w:tr>
      <w:tr>
        <w:tc>
          <w:tcPr>
            <w:tcW w:type="dxa" w:w="3200"/>
          </w:tcPr>
          <w:p>
            <w:r>
              <w:rPr>
                <w:b w:val="false"/>
                <w:bCs w:val="false"/>
              </w:rPr>
              <w:t xml:space="preserve">Pharmacology</w:t>
            </w:r>
          </w:p>
        </w:tc>
        <w:tc>
          <w:tcPr>
            <w:tcW w:type="dxa" w:w="1200"/>
          </w:tcPr>
          <w:p>
            <w:r>
              <w:rPr>
                <w:b w:val="false"/>
                <w:bCs w:val="false"/>
              </w:rPr>
              <w:t xml:space="preserve">100%</w:t>
            </w:r>
          </w:p>
        </w:tc>
        <w:tc>
          <w:tcPr>
            <w:tcW w:type="dxa" w:w="4960"/>
          </w:tcPr>
          <w:p>
            <w:r>
              <w:rPr>
                <w:b w:val="false"/>
                <w:bCs w:val="false"/>
              </w:rPr>
              <w:t xml:space="preserve">"Excellent work demonstrating strong understanding and professional identity"</w:t>
            </w:r>
          </w:p>
        </w:tc>
      </w:tr>
      <w:tr>
        <w:tc>
          <w:tcPr>
            <w:tcW w:type="dxa" w:w="3200"/>
          </w:tcPr>
          <w:p>
            <w:r>
              <w:rPr>
                <w:b w:val="false"/>
                <w:bCs w:val="false"/>
              </w:rPr>
              <w:t xml:space="preserve">Principles of Addiction</w:t>
            </w:r>
          </w:p>
        </w:tc>
        <w:tc>
          <w:tcPr>
            <w:tcW w:type="dxa" w:w="1200"/>
          </w:tcPr>
          <w:p>
            <w:r>
              <w:rPr>
                <w:b w:val="false"/>
                <w:bCs w:val="false"/>
              </w:rPr>
              <w:t xml:space="preserve">77.5%</w:t>
            </w:r>
          </w:p>
        </w:tc>
        <w:tc>
          <w:tcPr>
            <w:tcW w:type="dxa" w:w="4960"/>
          </w:tcPr>
          <w:p>
            <w:r>
              <w:rPr>
                <w:b w:val="false"/>
                <w:bCs w:val="false"/>
              </w:rPr>
              <w:t xml:space="preserve">"Fantastic concept and I hope you continue pursuing it!"</w:t>
            </w:r>
          </w:p>
        </w:tc>
      </w:tr>
      <w:tr>
        <w:tc>
          <w:tcPr>
            <w:tcW w:type="dxa" w:w="3200"/>
          </w:tcPr>
          <w:p>
            <w:r>
              <w:rPr>
                <w:b w:val="false"/>
                <w:bCs w:val="false"/>
              </w:rPr>
              <w:t xml:space="preserve">Process Addictions</w:t>
            </w:r>
          </w:p>
        </w:tc>
        <w:tc>
          <w:tcPr>
            <w:tcW w:type="dxa" w:w="1200"/>
          </w:tcPr>
          <w:p>
            <w:r>
              <w:rPr>
                <w:b w:val="false"/>
                <w:bCs w:val="false"/>
              </w:rPr>
              <w:t xml:space="preserve">96.7%</w:t>
            </w:r>
          </w:p>
        </w:tc>
        <w:tc>
          <w:tcPr>
            <w:tcW w:type="dxa" w:w="4960"/>
          </w:tcPr>
          <w:p>
            <w:r>
              <w:rPr>
                <w:b w:val="false"/>
                <w:bCs w:val="false"/>
              </w:rPr>
              <w:t xml:space="preserve">"Strong understanding of addiction criteria"</w:t>
            </w:r>
          </w:p>
        </w:tc>
      </w:tr>
      <w:tr>
        <w:tc>
          <w:tcPr>
            <w:tcW w:type="dxa" w:w="3200"/>
          </w:tcPr>
          <w:p>
            <w:r>
              <w:rPr>
                <w:b w:val="false"/>
                <w:bCs w:val="false"/>
              </w:rPr>
              <w:t xml:space="preserve">Principles of Communication</w:t>
            </w:r>
          </w:p>
        </w:tc>
        <w:tc>
          <w:tcPr>
            <w:tcW w:type="dxa" w:w="1200"/>
          </w:tcPr>
          <w:p>
            <w:r>
              <w:rPr>
                <w:b w:val="false"/>
                <w:bCs w:val="false"/>
              </w:rPr>
              <w:t xml:space="preserve">100%</w:t>
            </w:r>
          </w:p>
        </w:tc>
        <w:tc>
          <w:tcPr>
            <w:tcW w:type="dxa" w:w="4960"/>
          </w:tcPr>
          <w:p>
            <w:r>
              <w:rPr>
                <w:b w:val="false"/>
                <w:bCs w:val="false"/>
              </w:rPr>
              <w:t xml:space="preserve">"Phenomenal job... tying it to addictions as a type of therapy"</w:t>
            </w:r>
          </w:p>
        </w:tc>
      </w:tr>
      <w:tr>
        <w:tc>
          <w:tcPr>
            <w:tcW w:type="dxa" w:w="3200"/>
          </w:tcPr>
          <w:p>
            <w:r>
              <w:rPr>
                <w:b w:val="false"/>
                <w:bCs w:val="false"/>
              </w:rPr>
              <w:t xml:space="preserve">Anger &amp; Stress Management</w:t>
            </w:r>
          </w:p>
        </w:tc>
        <w:tc>
          <w:tcPr>
            <w:tcW w:type="dxa" w:w="1200"/>
          </w:tcPr>
          <w:p>
            <w:r>
              <w:rPr>
                <w:b w:val="false"/>
                <w:bCs w:val="false"/>
              </w:rPr>
              <w:t xml:space="preserve">100%</w:t>
            </w:r>
          </w:p>
        </w:tc>
        <w:tc>
          <w:tcPr>
            <w:tcW w:type="dxa" w:w="4960"/>
          </w:tcPr>
          <w:p>
            <w:r>
              <w:rPr>
                <w:b w:val="false"/>
                <w:bCs w:val="false"/>
              </w:rPr>
              <w:t xml:space="preserve">"Excellent work... professional, easy to relate to and educational"</w:t>
            </w:r>
          </w:p>
        </w:tc>
      </w:tr>
      <w:tr>
        <w:tc>
          <w:tcPr>
            <w:tcW w:type="dxa" w:w="3200"/>
          </w:tcPr>
          <w:p>
            <w:r>
              <w:rPr>
                <w:b w:val="false"/>
                <w:bCs w:val="false"/>
              </w:rPr>
              <w:t xml:space="preserve">Case Management &amp; Ethics</w:t>
            </w:r>
          </w:p>
        </w:tc>
        <w:tc>
          <w:tcPr>
            <w:tcW w:type="dxa" w:w="1200"/>
          </w:tcPr>
          <w:p>
            <w:r>
              <w:rPr>
                <w:b w:val="false"/>
                <w:bCs w:val="false"/>
              </w:rPr>
              <w:t xml:space="preserve">100%</w:t>
            </w:r>
          </w:p>
        </w:tc>
        <w:tc>
          <w:tcPr>
            <w:tcW w:type="dxa" w:w="4960"/>
          </w:tcPr>
          <w:p>
            <w:r>
              <w:rPr>
                <w:b w:val="false"/>
                <w:bCs w:val="false"/>
              </w:rPr>
              <w:t xml:space="preserve">"Outstanding work... culturally grounded, and clinically rigorous"</w:t>
            </w:r>
          </w:p>
        </w:tc>
      </w:tr>
      <w:tr>
        <w:tc>
          <w:tcPr>
            <w:tcW w:type="dxa" w:w="3200"/>
          </w:tcPr>
          <w:p>
            <w:r>
              <w:rPr>
                <w:b w:val="false"/>
                <w:bCs w:val="false"/>
              </w:rPr>
              <w:t xml:space="preserve">Personal &amp; Professional Health</w:t>
            </w:r>
          </w:p>
        </w:tc>
        <w:tc>
          <w:tcPr>
            <w:tcW w:type="dxa" w:w="1200"/>
          </w:tcPr>
          <w:p>
            <w:r>
              <w:rPr>
                <w:b w:val="false"/>
                <w:bCs w:val="false"/>
              </w:rPr>
              <w:t xml:space="preserve">100%</w:t>
            </w:r>
          </w:p>
        </w:tc>
        <w:tc>
          <w:tcPr>
            <w:tcW w:type="dxa" w:w="4960"/>
          </w:tcPr>
          <w:p>
            <w:r>
              <w:rPr>
                <w:b w:val="false"/>
                <w:bCs w:val="false"/>
              </w:rPr>
              <w:t xml:space="preserve">"Excellent work... you went above and beyond"</w:t>
            </w:r>
          </w:p>
        </w:tc>
      </w:tr>
      <w:tr>
        <w:tc>
          <w:tcPr>
            <w:tcW w:type="dxa" w:w="3200"/>
          </w:tcPr>
          <w:p>
            <w:r>
              <w:rPr>
                <w:b w:val="false"/>
                <w:bCs w:val="false"/>
              </w:rPr>
              <w:t xml:space="preserve">Secondary Traumatic Stress</w:t>
            </w:r>
          </w:p>
        </w:tc>
        <w:tc>
          <w:tcPr>
            <w:tcW w:type="dxa" w:w="1200"/>
          </w:tcPr>
          <w:p>
            <w:r>
              <w:rPr>
                <w:b w:val="false"/>
                <w:bCs w:val="false"/>
              </w:rPr>
              <w:t xml:space="preserve">100%</w:t>
            </w:r>
          </w:p>
        </w:tc>
        <w:tc>
          <w:tcPr>
            <w:tcW w:type="dxa" w:w="4960"/>
          </w:tcPr>
          <w:p>
            <w:r>
              <w:rPr>
                <w:b w:val="false"/>
                <w:bCs w:val="false"/>
              </w:rPr>
              <w:t xml:space="preserve">"Excellent work... well researched, organized and well thought out"</w:t>
            </w:r>
          </w:p>
        </w:tc>
      </w:tr>
      <w:tr>
        <w:tc>
          <w:tcPr>
            <w:tcW w:type="dxa" w:w="3200"/>
          </w:tcPr>
          <w:p>
            <w:r>
              <w:rPr>
                <w:b w:val="false"/>
                <w:bCs w:val="false"/>
              </w:rPr>
              <w:t xml:space="preserve">Structured Relapse Prevention Planning</w:t>
            </w:r>
          </w:p>
        </w:tc>
        <w:tc>
          <w:tcPr>
            <w:tcW w:type="dxa" w:w="1200"/>
          </w:tcPr>
          <w:p>
            <w:r>
              <w:rPr>
                <w:b w:val="false"/>
                <w:bCs w:val="false"/>
              </w:rPr>
              <w:t xml:space="preserve">96%</w:t>
            </w:r>
          </w:p>
        </w:tc>
        <w:tc>
          <w:tcPr>
            <w:tcW w:type="dxa" w:w="4960"/>
          </w:tcPr>
          <w:p>
            <w:r>
              <w:rPr>
                <w:b w:val="false"/>
                <w:bCs w:val="false"/>
              </w:rPr>
              <w:t xml:space="preserve">"Exceptional — beyond expectations... a valuable contribution to relapse thinking"</w:t>
            </w:r>
          </w:p>
        </w:tc>
      </w:tr>
      <w:tr>
        <w:tc>
          <w:tcPr>
            <w:tcW w:type="dxa" w:w="3200"/>
          </w:tcPr>
          <w:p>
            <w:r>
              <w:rPr>
                <w:b w:val="false"/>
                <w:bCs w:val="false"/>
              </w:rPr>
              <w:t xml:space="preserve">Treatment Planning</w:t>
            </w:r>
          </w:p>
        </w:tc>
        <w:tc>
          <w:tcPr>
            <w:tcW w:type="dxa" w:w="1200"/>
          </w:tcPr>
          <w:p>
            <w:r>
              <w:rPr>
                <w:b w:val="false"/>
                <w:bCs w:val="false"/>
              </w:rPr>
              <w:t xml:space="preserve">100%</w:t>
            </w:r>
          </w:p>
        </w:tc>
        <w:tc>
          <w:tcPr>
            <w:tcW w:type="dxa" w:w="4960"/>
          </w:tcPr>
          <w:p>
            <w:r>
              <w:rPr>
                <w:b w:val="false"/>
                <w:bCs w:val="false"/>
              </w:rPr>
              <w:t xml:space="preserve">"Excellent work. This is a professional, comprehensive, and highly useful handbook"</w:t>
            </w:r>
          </w:p>
        </w:tc>
      </w:tr>
    </w:tbl>
    <w:p>
      <w:pPr>
        <w:spacing w:after="120"/>
      </w:pPr>
      <w:r>
        <w:rPr>
          <w:i/>
          <w:iCs/>
        </w:rPr>
        <w:t xml:space="preserve">This is academic feedback on coursework, attributed per course. It reflects strong, consistent performance in a diploma program — it is not a professional certification or field evaluation of the framework itself.</w:t>
      </w:r>
    </w:p>
    <w:p>
      <w:pPr>
        <w:pStyle w:val="Heading2"/>
        <w:spacing w:after="120" w:before="240"/>
      </w:pPr>
      <w:r>
        <w:t xml:space="preserve">7.2 Professional Lineage</w:t>
      </w:r>
    </w:p>
    <w:p>
      <w:pPr>
        <w:spacing w:after="120"/>
      </w:pPr>
      <w:r>
        <w:t xml:space="preserve">Frederick Joseph Hodge — Neil's maternal grandfather, Director of Education for Catholic schools, recipient of two papal plaques for 50 years of service to Catholic education in Ontario; a key figure in 1960s Catholic school board reconciliation. His integrity standard informs the Hodge Gate. Marie Hodge — Neil's maternal grandmother, senior leader of the Archdiocesan ladies auxiliary; namesake of the MRS treasury system.</w:t>
      </w:r>
    </w:p>
    <w:p>
      <w:pPr>
        <w:pStyle w:val="Heading2"/>
        <w:spacing w:after="120" w:before="240"/>
      </w:pPr>
      <w:r>
        <w:t xml:space="preserve">7.3 Engineering and Professional Foundation</w:t>
      </w:r>
    </w:p>
    <w:p>
      <w:pPr>
        <w:spacing w:after="120"/>
      </w:pPr>
      <w:r>
        <w:t xml:space="preserve">Mechanical Design Technologist &amp; Certified Tool and Die Technician, Georgian College — 98% in Tool and Die Theory (flagged above for source confirmation). Six years as sole design engineer at Dependable Emergency Vehicles; 14+ custom fire apparatus annually to NFPA/ULC compliance; named responsible party on ULC and NFPA compliance reports; listed on the Government of Ontario industry registry for pressure vessel certification; built bomb disposal trucks for Peel Regional Police; designed prisoner transport and court control vans; developed a proprietary 65:1 drawing scale for field verification.</w:t>
      </w:r>
    </w:p>
    <w:p>
      <w:pPr>
        <w:spacing w:after="120"/>
      </w:pPr>
      <w:r>
        <w:t xml:space="preserve">Natural Gas System Inspector, United Metering Services/Enbridge, 2015–2025 — approximately 411 km/month inspected, approximately 40 gas leaks identified per month during route establishment, zero incidents over 8 years. Award-winning automotive sales professional, 1999–2015 — 2012 Customer Satisfaction Achievement Award, Toyota Pinnacle Award 1st Runner-Up (98.1% customer satisfaction), 67% closing ratio, 1,100+ consecutive five-star ratings as sole proprietor.</w:t>
      </w:r>
    </w:p>
    <w:p>
      <w:pPr>
        <w:spacing w:after="120"/>
      </w:pPr>
      <w:r>
        <w:t xml:space="preserve">Single father — 13 years, three daughters, no co-parent, no external safety net.</w:t>
      </w:r>
    </w:p>
    <w:p>
      <w:pPr>
        <w:pStyle w:val="Heading1"/>
        <w:spacing w:after="150" w:before="320"/>
      </w:pPr>
      <w:r>
        <w:t xml:space="preserve">Part 8 — Design Provenance</w:t>
      </w:r>
    </w:p>
    <w:p>
      <w:pPr>
        <w:spacing w:after="120"/>
      </w:pPr>
      <w:r>
        <w:t xml:space="preserve">This framework was designed by a single Framework Architect, drawing on the academic, professional, and lived-experience background documented in Part 7. No third-party institutional, financial, or field verification has occurred to date. The mathematical equations in Part 3 have been checked for internal cross-document consistency — corrections found during that process are logged in the Financial &amp; Value Guide and applied throughout this library. Internal consistency is a necessary precondition for the framework to be testable; it is not evidence that the framework works.</w:t>
      </w:r>
    </w:p>
    <w:p>
      <w:pPr>
        <w:pStyle w:val="Heading1"/>
        <w:spacing w:after="150" w:before="320"/>
      </w:pPr>
      <w:r>
        <w:t xml:space="preserve">Part 9 — The Technology Layer</w:t>
      </w:r>
    </w:p>
    <w:p>
      <w:pPr>
        <w:pStyle w:val="Heading2"/>
        <w:spacing w:after="120" w:before="240"/>
      </w:pPr>
      <w:r>
        <w:t xml:space="preserve">9.1 CBT Pulse — CAI (Conscious Awareness Interface)</w:t>
      </w:r>
    </w:p>
    <w:p>
      <w:pPr>
        <w:spacing w:after="120"/>
      </w:pPr>
      <w:r>
        <w:t xml:space="preserve">A deployed, offline-capable digital companion tool. Single HTML file (~80KB), no internet required after initial receipt, runs on any modern browser. Screens include HALT Check, Breath Reset, PAWS Map, daily Check-In, a psychoeducation Library, the Universal Interruption Protocol, and an SOS crisis-support screen (988, ConnexOntario, Crisis Text Line).</w:t>
      </w:r>
    </w:p>
    <w:p>
      <w:pPr>
        <w:pStyle w:val="Heading2"/>
        <w:spacing w:after="120" w:before="240"/>
      </w:pPr>
      <w:r>
        <w:t xml:space="preserve">9.2 The Antifragile AI Platform (Designed, Partially Deployed)</w:t>
      </w:r>
    </w:p>
    <w:p>
      <w:pPr>
        <w:spacing w:after="120"/>
      </w:pPr>
      <w:r>
        <w:t xml:space="preserve">Six technology layers: CBT Pulse CAI (deployed now), DEEDSPROOF Verification System (in development, $30K–$120K MVP estimate), GTT (Global Telephone Tag, designed), CEP (Chemical Exposure Platform, designed), AI Halo IRF (designed), and the Antifragile Development Engine / Firmware (designed).</w:t>
      </w:r>
    </w:p>
    <w:p>
      <w:pPr>
        <w:pStyle w:val="Heading1"/>
        <w:spacing w:after="150" w:before="320"/>
      </w:pPr>
      <w:r>
        <w:t xml:space="preserve">Part 10 — The Implementation Pathway</w:t>
      </w:r>
    </w:p>
    <w:p>
      <w:pPr>
        <w:spacing w:after="120"/>
      </w:pPr>
      <w:r>
        <w:t xml:space="preserve">CAEH26 submission: "From Discharge Cliff to Dignified Work" — Stream 7, Prevention and Diversion. Status: submitted, acceptance notification pending. MASH Antifragile proposal to the Government of Ontario: $3,500,000 CAD ask, surplus military tents, Crown land near Cobalt, Ontario. GSRT Concept Note to Global Affairs Canada: $18,500,000 Conditionally Repayable Contribution, proposed partners not yet confirmed — outreach not yet initiated.</w:t>
      </w:r>
    </w:p>
    <w:p>
      <w:pPr>
        <w:spacing w:after="120"/>
      </w:pPr>
      <w:r>
        <w:t xml:space="preserve">The Indigenous Engagement Disclosure Map: a 9-step consent-aligned, protocol-first, non-extractive process, governed by the principle that no disclosure triggers consultation and no knowledge is requested unless invited.</w:t>
      </w:r>
    </w:p>
    <w:p>
      <w:pPr>
        <w:pStyle w:val="Heading1"/>
        <w:spacing w:after="150" w:before="320"/>
      </w:pPr>
      <w:r>
        <w:t xml:space="preserve">Part 11 — Internal Consistency Summary</w:t>
      </w:r>
    </w:p>
    <w:p>
      <w:pPr>
        <w:spacing w:after="120"/>
      </w:pPr>
      <w:r>
        <w:t xml:space="preserve">The table below reflects what has actually been checked — internal consistency across this document library — not external, financial, field, or third-party verification, none of which has occurred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shd w:fill="1F3864" w:val="clear"/>
          </w:tcPr>
          <w:p>
            <w:r>
              <w:rPr>
                <w:b/>
                <w:bCs/>
                <w:color w:val="FFFFFF"/>
              </w:rPr>
              <w:t xml:space="preserve">Component</w:t>
            </w:r>
          </w:p>
        </w:tc>
        <w:tc>
          <w:tcPr>
            <w:tcW w:type="dxa" w:w="3200"/>
            <w:shd w:fill="1F3864" w:val="clear"/>
          </w:tcPr>
          <w:p>
            <w:r>
              <w:rPr>
                <w:b/>
                <w:bCs/>
                <w:color w:val="FFFFFF"/>
              </w:rPr>
              <w:t xml:space="preserve">What was checked</w:t>
            </w:r>
          </w:p>
        </w:tc>
        <w:tc>
          <w:tcPr>
            <w:tcW w:type="dxa" w:w="4160"/>
            <w:shd w:fill="1F3864" w:val="clear"/>
          </w:tcPr>
          <w:p>
            <w:r>
              <w:rPr>
                <w:b/>
                <w:bCs/>
                <w:color w:val="FFFFFF"/>
              </w:rPr>
              <w:t xml:space="preserve">Result</w:t>
            </w:r>
          </w:p>
        </w:tc>
      </w:tr>
      <w:tr>
        <w:tc>
          <w:tcPr>
            <w:tcW w:type="dxa" w:w="2000"/>
          </w:tcPr>
          <w:p>
            <w:r>
              <w:rPr>
                <w:b w:val="false"/>
                <w:bCs w:val="false"/>
              </w:rPr>
              <w:t xml:space="preserve">Mathematical equations</w:t>
            </w:r>
          </w:p>
        </w:tc>
        <w:tc>
          <w:tcPr>
            <w:tcW w:type="dxa" w:w="3200"/>
          </w:tcPr>
          <w:p>
            <w:r>
              <w:rPr>
                <w:b w:val="false"/>
                <w:bCs w:val="false"/>
              </w:rPr>
              <w:t xml:space="preserve">Cross-document consistency check</w:t>
            </w:r>
          </w:p>
        </w:tc>
        <w:tc>
          <w:tcPr>
            <w:tcW w:type="dxa" w:w="4160"/>
          </w:tcPr>
          <w:p>
            <w:r>
              <w:rPr>
                <w:b w:val="false"/>
                <w:bCs w:val="false"/>
              </w:rPr>
              <w:t xml:space="preserve">Inconsistencies found and corrected — see the Financial &amp; Value Guide's correction log</w:t>
            </w:r>
          </w:p>
        </w:tc>
      </w:tr>
      <w:tr>
        <w:tc>
          <w:tcPr>
            <w:tcW w:type="dxa" w:w="2000"/>
          </w:tcPr>
          <w:p>
            <w:r>
              <w:rPr>
                <w:b w:val="false"/>
                <w:bCs w:val="false"/>
              </w:rPr>
              <w:t xml:space="preserve">Financial claims</w:t>
            </w:r>
          </w:p>
        </w:tc>
        <w:tc>
          <w:tcPr>
            <w:tcW w:type="dxa" w:w="3200"/>
          </w:tcPr>
          <w:p>
            <w:r>
              <w:rPr>
                <w:b w:val="false"/>
                <w:bCs w:val="false"/>
              </w:rPr>
              <w:t xml:space="preserve">Internal citation check against published sources for input variables</w:t>
            </w:r>
          </w:p>
        </w:tc>
        <w:tc>
          <w:tcPr>
            <w:tcW w:type="dxa" w:w="4160"/>
          </w:tcPr>
          <w:p>
            <w:r>
              <w:rPr>
                <w:b w:val="false"/>
                <w:bCs w:val="false"/>
              </w:rPr>
              <w:t xml:space="preserve">Input benchmarks are sourced; framework outputs derived from them are projections, not measured results</w:t>
            </w:r>
          </w:p>
        </w:tc>
      </w:tr>
      <w:tr>
        <w:tc>
          <w:tcPr>
            <w:tcW w:type="dxa" w:w="2000"/>
          </w:tcPr>
          <w:p>
            <w:r>
              <w:rPr>
                <w:b w:val="false"/>
                <w:bCs w:val="false"/>
              </w:rPr>
              <w:t xml:space="preserve">Governance architecture</w:t>
            </w:r>
          </w:p>
        </w:tc>
        <w:tc>
          <w:tcPr>
            <w:tcW w:type="dxa" w:w="3200"/>
          </w:tcPr>
          <w:p>
            <w:r>
              <w:rPr>
                <w:b w:val="false"/>
                <w:bCs w:val="false"/>
              </w:rPr>
              <w:t xml:space="preserve">Internal document review</w:t>
            </w:r>
          </w:p>
        </w:tc>
        <w:tc>
          <w:tcPr>
            <w:tcW w:type="dxa" w:w="4160"/>
          </w:tcPr>
          <w:p>
            <w:r>
              <w:rPr>
                <w:b w:val="false"/>
                <w:bCs w:val="false"/>
              </w:rPr>
              <w:t xml:space="preserve">33/33/33/1% structure and safeguards are consistently specified across documents</w:t>
            </w:r>
          </w:p>
        </w:tc>
      </w:tr>
      <w:tr>
        <w:tc>
          <w:tcPr>
            <w:tcW w:type="dxa" w:w="2000"/>
          </w:tcPr>
          <w:p>
            <w:r>
              <w:rPr>
                <w:b w:val="false"/>
                <w:bCs w:val="false"/>
              </w:rPr>
              <w:t xml:space="preserve">Sovereignty protections</w:t>
            </w:r>
          </w:p>
        </w:tc>
        <w:tc>
          <w:tcPr>
            <w:tcW w:type="dxa" w:w="3200"/>
          </w:tcPr>
          <w:p>
            <w:r>
              <w:rPr>
                <w:b w:val="false"/>
                <w:bCs w:val="false"/>
              </w:rPr>
              <w:t xml:space="preserve">Alignment against the Chiefs of Ontario Toolkit</w:t>
            </w:r>
          </w:p>
        </w:tc>
        <w:tc>
          <w:tcPr>
            <w:tcW w:type="dxa" w:w="4160"/>
          </w:tcPr>
          <w:p>
            <w:r>
              <w:rPr>
                <w:b w:val="false"/>
                <w:bCs w:val="false"/>
              </w:rPr>
              <w:t xml:space="preserve">Structurally aligned as designed; not yet reviewed by any Nation or the COO</w:t>
            </w:r>
          </w:p>
        </w:tc>
      </w:tr>
      <w:tr>
        <w:tc>
          <w:tcPr>
            <w:tcW w:type="dxa" w:w="2000"/>
          </w:tcPr>
          <w:p>
            <w:r>
              <w:rPr>
                <w:b w:val="false"/>
                <w:bCs w:val="false"/>
              </w:rPr>
              <w:t xml:space="preserve">Clinical architecture</w:t>
            </w:r>
          </w:p>
        </w:tc>
        <w:tc>
          <w:tcPr>
            <w:tcW w:type="dxa" w:w="3200"/>
          </w:tcPr>
          <w:p>
            <w:r>
              <w:rPr>
                <w:b w:val="false"/>
                <w:bCs w:val="false"/>
              </w:rPr>
              <w:t xml:space="preserve">Cross-reference against the Stressor Guide</w:t>
            </w:r>
          </w:p>
        </w:tc>
        <w:tc>
          <w:tcPr>
            <w:tcW w:type="dxa" w:w="4160"/>
          </w:tcPr>
          <w:p>
            <w:r>
              <w:rPr>
                <w:b w:val="false"/>
                <w:bCs w:val="false"/>
              </w:rPr>
              <w:t xml:space="preserve">Every stressor mapped to a specific intervention in the design</w:t>
            </w:r>
          </w:p>
        </w:tc>
      </w:tr>
      <w:tr>
        <w:tc>
          <w:tcPr>
            <w:tcW w:type="dxa" w:w="2000"/>
          </w:tcPr>
          <w:p>
            <w:r>
              <w:rPr>
                <w:b w:val="false"/>
                <w:bCs w:val="false"/>
              </w:rPr>
              <w:t xml:space="preserve">Operational models</w:t>
            </w:r>
          </w:p>
        </w:tc>
        <w:tc>
          <w:tcPr>
            <w:tcW w:type="dxa" w:w="3200"/>
          </w:tcPr>
          <w:p>
            <w:r>
              <w:rPr>
                <w:b w:val="false"/>
                <w:bCs w:val="false"/>
              </w:rPr>
              <w:t xml:space="preserve">Internal cost-model consistency</w:t>
            </w:r>
          </w:p>
        </w:tc>
        <w:tc>
          <w:tcPr>
            <w:tcW w:type="dxa" w:w="4160"/>
          </w:tcPr>
          <w:p>
            <w:r>
              <w:rPr>
                <w:b w:val="false"/>
                <w:bCs w:val="false"/>
              </w:rPr>
              <w:t xml:space="preserve">Don River is illustrative (see Part 6); no GSRT-run pilot has occurred</w:t>
            </w:r>
          </w:p>
        </w:tc>
      </w:tr>
      <w:tr>
        <w:tc>
          <w:tcPr>
            <w:tcW w:type="dxa" w:w="2000"/>
          </w:tcPr>
          <w:p>
            <w:r>
              <w:rPr>
                <w:b w:val="false"/>
                <w:bCs w:val="false"/>
              </w:rPr>
              <w:t xml:space="preserve">Technology</w:t>
            </w:r>
          </w:p>
        </w:tc>
        <w:tc>
          <w:tcPr>
            <w:tcW w:type="dxa" w:w="3200"/>
          </w:tcPr>
          <w:p>
            <w:r>
              <w:rPr>
                <w:b w:val="false"/>
                <w:bCs w:val="false"/>
              </w:rPr>
              <w:t xml:space="preserve">CBT Pulse — CAI</w:t>
            </w:r>
          </w:p>
        </w:tc>
        <w:tc>
          <w:tcPr>
            <w:tcW w:type="dxa" w:w="4160"/>
          </w:tcPr>
          <w:p>
            <w:r>
              <w:rPr>
                <w:b w:val="false"/>
                <w:bCs w:val="false"/>
              </w:rPr>
              <w:t xml:space="preserve">Functional and deployed; the remaining five platform layers are designed, not built</w:t>
            </w:r>
          </w:p>
        </w:tc>
      </w:tr>
      <w:tr>
        <w:tc>
          <w:tcPr>
            <w:tcW w:type="dxa" w:w="2000"/>
          </w:tcPr>
          <w:p>
            <w:r>
              <w:rPr>
                <w:b w:val="false"/>
                <w:bCs w:val="false"/>
              </w:rPr>
              <w:t xml:space="preserve">Academic record</w:t>
            </w:r>
          </w:p>
        </w:tc>
        <w:tc>
          <w:tcPr>
            <w:tcW w:type="dxa" w:w="3200"/>
          </w:tcPr>
          <w:p>
            <w:r>
              <w:rPr>
                <w:b w:val="false"/>
                <w:bCs w:val="false"/>
              </w:rPr>
              <w:t xml:space="preserve">Institutional grade record</w:t>
            </w:r>
          </w:p>
        </w:tc>
        <w:tc>
          <w:tcPr>
            <w:tcW w:type="dxa" w:w="4160"/>
          </w:tcPr>
          <w:p>
            <w:r>
              <w:rPr>
                <w:b w:val="false"/>
                <w:bCs w:val="false"/>
              </w:rPr>
              <w:t xml:space="preserve">Per-course grades and feedback, individually attributed (Part 7)</w:t>
            </w:r>
          </w:p>
        </w:tc>
      </w:tr>
    </w:tbl>
    <w:p>
      <w:pPr>
        <w:pStyle w:val="Heading2"/>
        <w:spacing w:after="120" w:before="240"/>
      </w:pPr>
      <w:r>
        <w:t xml:space="preserve">11.2 Conservative Evidence Floors — Input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c>
          <w:tcPr>
            <w:tcW w:type="dxa" w:w="2400"/>
            <w:shd w:fill="1F3864" w:val="clear"/>
          </w:tcPr>
          <w:p>
            <w:r>
              <w:rPr>
                <w:b/>
                <w:bCs/>
                <w:color w:val="FFFFFF"/>
              </w:rPr>
              <w:t xml:space="preserve">Claim</w:t>
            </w:r>
          </w:p>
        </w:tc>
        <w:tc>
          <w:tcPr>
            <w:tcW w:type="dxa" w:w="1600"/>
            <w:shd w:fill="1F3864" w:val="clear"/>
          </w:tcPr>
          <w:p>
            <w:r>
              <w:rPr>
                <w:b/>
                <w:bCs/>
                <w:color w:val="FFFFFF"/>
              </w:rPr>
              <w:t xml:space="preserve">Value used</w:t>
            </w:r>
          </w:p>
        </w:tc>
        <w:tc>
          <w:tcPr>
            <w:tcW w:type="dxa" w:w="2600"/>
            <w:shd w:fill="1F3864" w:val="clear"/>
          </w:tcPr>
          <w:p>
            <w:r>
              <w:rPr>
                <w:b/>
                <w:bCs/>
                <w:color w:val="FFFFFF"/>
              </w:rPr>
              <w:t xml:space="preserve">Published range</w:t>
            </w:r>
          </w:p>
        </w:tc>
        <w:tc>
          <w:tcPr>
            <w:tcW w:type="dxa" w:w="2760"/>
            <w:shd w:fill="1F3864" w:val="clear"/>
          </w:tcPr>
          <w:p>
            <w:r>
              <w:rPr>
                <w:b/>
                <w:bCs/>
                <w:color w:val="FFFFFF"/>
              </w:rPr>
              <w:t xml:space="preserve">Source</w:t>
            </w:r>
          </w:p>
        </w:tc>
      </w:tr>
      <w:tr>
        <w:tc>
          <w:tcPr>
            <w:tcW w:type="dxa" w:w="2400"/>
          </w:tcPr>
          <w:p>
            <w:r>
              <w:rPr>
                <w:b w:val="false"/>
                <w:bCs w:val="false"/>
              </w:rPr>
              <w:t xml:space="preserve">Annual cost per Limbic Prison person</w:t>
            </w:r>
          </w:p>
        </w:tc>
        <w:tc>
          <w:tcPr>
            <w:tcW w:type="dxa" w:w="1600"/>
          </w:tcPr>
          <w:p>
            <w:r>
              <w:rPr>
                <w:b w:val="false"/>
                <w:bCs w:val="false"/>
              </w:rPr>
              <w:t xml:space="preserve">$120,000</w:t>
            </w:r>
          </w:p>
        </w:tc>
        <w:tc>
          <w:tcPr>
            <w:tcW w:type="dxa" w:w="2600"/>
          </w:tcPr>
          <w:p>
            <w:r>
              <w:rPr>
                <w:b w:val="false"/>
                <w:bCs w:val="false"/>
              </w:rPr>
              <w:t xml:space="preserve">$105K–$130K (composite)</w:t>
            </w:r>
          </w:p>
        </w:tc>
        <w:tc>
          <w:tcPr>
            <w:tcW w:type="dxa" w:w="2760"/>
          </w:tcPr>
          <w:p>
            <w:r>
              <w:rPr>
                <w:b w:val="false"/>
                <w:bCs w:val="false"/>
              </w:rPr>
              <w:t xml:space="preserve">CIHI + Public Safety Canada + ESDC</w:t>
            </w:r>
          </w:p>
        </w:tc>
      </w:tr>
      <w:tr>
        <w:tc>
          <w:tcPr>
            <w:tcW w:type="dxa" w:w="2400"/>
          </w:tcPr>
          <w:p>
            <w:r>
              <w:rPr>
                <w:b w:val="false"/>
                <w:bCs w:val="false"/>
              </w:rPr>
              <w:t xml:space="preserve">Sovereign ROI swing per person</w:t>
            </w:r>
          </w:p>
        </w:tc>
        <w:tc>
          <w:tcPr>
            <w:tcW w:type="dxa" w:w="1600"/>
          </w:tcPr>
          <w:p>
            <w:r>
              <w:rPr>
                <w:b w:val="false"/>
                <w:bCs w:val="false"/>
              </w:rPr>
              <w:t xml:space="preserve">$185,000</w:t>
            </w:r>
          </w:p>
        </w:tc>
        <w:tc>
          <w:tcPr>
            <w:tcW w:type="dxa" w:w="2600"/>
          </w:tcPr>
          <w:p>
            <w:r>
              <w:rPr>
                <w:b w:val="false"/>
                <w:bCs w:val="false"/>
              </w:rPr>
              <w:t xml:space="preserve">$120K cost avoided + $65K productivity</w:t>
            </w:r>
          </w:p>
        </w:tc>
        <w:tc>
          <w:tcPr>
            <w:tcW w:type="dxa" w:w="2760"/>
          </w:tcPr>
          <w:p>
            <w:r>
              <w:rPr>
                <w:b w:val="false"/>
                <w:bCs w:val="false"/>
              </w:rPr>
              <w:t xml:space="preserve">Composite estimate</w:t>
            </w:r>
          </w:p>
        </w:tc>
      </w:tr>
      <w:tr>
        <w:tc>
          <w:tcPr>
            <w:tcW w:type="dxa" w:w="2400"/>
          </w:tcPr>
          <w:p>
            <w:r>
              <w:rPr>
                <w:b w:val="false"/>
                <w:bCs w:val="false"/>
              </w:rPr>
              <w:t xml:space="preserve">Land value increase from greening</w:t>
            </w:r>
          </w:p>
        </w:tc>
        <w:tc>
          <w:tcPr>
            <w:tcW w:type="dxa" w:w="1600"/>
          </w:tcPr>
          <w:p>
            <w:r>
              <w:rPr>
                <w:b w:val="false"/>
                <w:bCs w:val="false"/>
              </w:rPr>
              <w:t xml:space="preserve">30%</w:t>
            </w:r>
          </w:p>
        </w:tc>
        <w:tc>
          <w:tcPr>
            <w:tcW w:type="dxa" w:w="2600"/>
          </w:tcPr>
          <w:p>
            <w:r>
              <w:rPr>
                <w:b w:val="false"/>
                <w:bCs w:val="false"/>
              </w:rPr>
              <w:t xml:space="preserve">30%–64% (adjacent)</w:t>
            </w:r>
          </w:p>
        </w:tc>
        <w:tc>
          <w:tcPr>
            <w:tcW w:type="dxa" w:w="2760"/>
          </w:tcPr>
          <w:p>
            <w:r>
              <w:rPr>
                <w:b w:val="false"/>
                <w:bCs w:val="false"/>
              </w:rPr>
              <w:t xml:space="preserve">Wharton School / PA Environment Digest</w:t>
            </w:r>
          </w:p>
        </w:tc>
      </w:tr>
      <w:tr>
        <w:tc>
          <w:tcPr>
            <w:tcW w:type="dxa" w:w="2400"/>
          </w:tcPr>
          <w:p>
            <w:r>
              <w:rPr>
                <w:b w:val="false"/>
                <w:bCs w:val="false"/>
              </w:rPr>
              <w:t xml:space="preserve">Flood prevention ROI</w:t>
            </w:r>
          </w:p>
        </w:tc>
        <w:tc>
          <w:tcPr>
            <w:tcW w:type="dxa" w:w="1600"/>
          </w:tcPr>
          <w:p>
            <w:r>
              <w:rPr>
                <w:b w:val="false"/>
                <w:bCs w:val="false"/>
              </w:rPr>
              <w:t xml:space="preserve">5× cheaper</w:t>
            </w:r>
          </w:p>
        </w:tc>
        <w:tc>
          <w:tcPr>
            <w:tcW w:type="dxa" w:w="2600"/>
          </w:tcPr>
          <w:p>
            <w:r>
              <w:rPr>
                <w:b w:val="false"/>
                <w:bCs w:val="false"/>
              </w:rPr>
              <w:t xml:space="preserve">6–10× published range</w:t>
            </w:r>
          </w:p>
        </w:tc>
        <w:tc>
          <w:tcPr>
            <w:tcW w:type="dxa" w:w="2760"/>
          </w:tcPr>
          <w:p>
            <w:r>
              <w:rPr>
                <w:b w:val="false"/>
                <w:bCs w:val="false"/>
              </w:rPr>
              <w:t xml:space="preserve">Journal of Hydrology (2024) + EPA (2025)</w:t>
            </w:r>
          </w:p>
        </w:tc>
      </w:tr>
      <w:tr>
        <w:tc>
          <w:tcPr>
            <w:tcW w:type="dxa" w:w="2400"/>
          </w:tcPr>
          <w:p>
            <w:r>
              <w:rPr>
                <w:b w:val="false"/>
                <w:bCs w:val="false"/>
              </w:rPr>
              <w:t xml:space="preserve">Lighthouse ROI</w:t>
            </w:r>
          </w:p>
        </w:tc>
        <w:tc>
          <w:tcPr>
            <w:tcW w:type="dxa" w:w="1600"/>
          </w:tcPr>
          <w:p>
            <w:r>
              <w:rPr>
                <w:b w:val="false"/>
                <w:bCs w:val="false"/>
              </w:rPr>
              <w:t xml:space="preserve">$8.28 per $1</w:t>
            </w:r>
          </w:p>
        </w:tc>
        <w:tc>
          <w:tcPr>
            <w:tcW w:type="dxa" w:w="2600"/>
          </w:tcPr>
          <w:p>
            <w:r>
              <w:rPr>
                <w:b w:val="false"/>
                <w:bCs w:val="false"/>
              </w:rPr>
              <w:t xml:space="preserve">Model output, not yet field-tested</w:t>
            </w:r>
          </w:p>
        </w:tc>
        <w:tc>
          <w:tcPr>
            <w:tcW w:type="dxa" w:w="2760"/>
          </w:tcPr>
          <w:p>
            <w:r>
              <w:rPr>
                <w:b w:val="false"/>
                <w:bCs w:val="false"/>
              </w:rPr>
              <w:t xml:space="preserve">H&amp;S Board data — conservative inputs</w:t>
            </w:r>
          </w:p>
        </w:tc>
      </w:tr>
      <w:tr>
        <w:tc>
          <w:tcPr>
            <w:tcW w:type="dxa" w:w="2400"/>
          </w:tcPr>
          <w:p>
            <w:r>
              <w:rPr>
                <w:b w:val="false"/>
                <w:bCs w:val="false"/>
              </w:rPr>
              <w:t xml:space="preserve">Seed repayment gross revenue</w:t>
            </w:r>
          </w:p>
        </w:tc>
        <w:tc>
          <w:tcPr>
            <w:tcW w:type="dxa" w:w="1600"/>
          </w:tcPr>
          <w:p>
            <w:r>
              <w:rPr>
                <w:b w:val="false"/>
                <w:bCs w:val="false"/>
              </w:rPr>
              <w:t xml:space="preserve">$37M cumulative</w:t>
            </w:r>
          </w:p>
        </w:tc>
        <w:tc>
          <w:tcPr>
            <w:tcW w:type="dxa" w:w="2600"/>
          </w:tcPr>
          <w:p>
            <w:r>
              <w:rPr>
                <w:b w:val="false"/>
                <w:bCs w:val="false"/>
              </w:rPr>
              <w:t xml:space="preserve">Conservative 10× floor</w:t>
            </w:r>
          </w:p>
        </w:tc>
        <w:tc>
          <w:tcPr>
            <w:tcW w:type="dxa" w:w="2760"/>
          </w:tcPr>
          <w:p>
            <w:r>
              <w:rPr>
                <w:b w:val="false"/>
                <w:bCs w:val="false"/>
              </w:rPr>
              <w:t xml:space="preserve">See Financial &amp; Value Guide correction log</w:t>
            </w:r>
          </w:p>
        </w:tc>
      </w:tr>
    </w:tbl>
    <w:p>
      <w:pPr>
        <w:pStyle w:val="Heading1"/>
        <w:spacing w:after="150" w:before="320"/>
      </w:pPr>
      <w:r>
        <w:t xml:space="preserve">Part 12 — Conclusion</w:t>
      </w:r>
    </w:p>
    <w:p>
      <w:pPr>
        <w:pStyle w:val="Heading2"/>
        <w:spacing w:after="120" w:before="240"/>
      </w:pPr>
      <w:r>
        <w:t xml:space="preserve">12.1 The Core Proposition</w:t>
      </w:r>
    </w:p>
    <w:p>
      <w:pPr>
        <w:spacing w:after="120"/>
      </w:pPr>
      <w:r>
        <w:t xml:space="preserve">The core proposition this framework is designed to test: that a government currently paying for the consequences of unaddressed human and ecological crisis could instead pay for restoration, at comparable or lower cost, if the mathematics and governance architecture hold up under real-world conditions. That is a hypothesis this design is built to test — not yet a demonstrated result.</w:t>
      </w:r>
    </w:p>
    <w:p>
      <w:pPr>
        <w:pStyle w:val="Heading2"/>
        <w:spacing w:after="120" w:before="240"/>
      </w:pPr>
      <w:r>
        <w:t xml:space="preserve">12.2 The Path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3864" w:val="clear"/>
          </w:tcPr>
          <w:p>
            <w:r>
              <w:rPr>
                <w:b/>
                <w:bCs/>
                <w:color w:val="FFFFFF"/>
              </w:rPr>
              <w:t xml:space="preserve">Date</w:t>
            </w:r>
          </w:p>
        </w:tc>
        <w:tc>
          <w:tcPr>
            <w:tcW w:type="dxa" w:w="6960"/>
            <w:shd w:fill="1F3864" w:val="clear"/>
          </w:tcPr>
          <w:p>
            <w:r>
              <w:rPr>
                <w:b/>
                <w:bCs/>
                <w:color w:val="FFFFFF"/>
              </w:rPr>
              <w:t xml:space="preserve">Action</w:t>
            </w:r>
          </w:p>
        </w:tc>
      </w:tr>
      <w:tr>
        <w:tc>
          <w:tcPr>
            <w:tcW w:type="dxa" w:w="2400"/>
          </w:tcPr>
          <w:p>
            <w:r>
              <w:rPr>
                <w:b w:val="false"/>
                <w:bCs w:val="false"/>
              </w:rPr>
              <w:t xml:space="preserve">July 7, 2026</w:t>
            </w:r>
          </w:p>
        </w:tc>
        <w:tc>
          <w:tcPr>
            <w:tcW w:type="dxa" w:w="6960"/>
          </w:tcPr>
          <w:p>
            <w:r>
              <w:rPr>
                <w:b w:val="false"/>
                <w:bCs w:val="false"/>
              </w:rPr>
              <w:t xml:space="preserve">CAEH26 acceptance notification</w:t>
            </w:r>
          </w:p>
        </w:tc>
      </w:tr>
      <w:tr>
        <w:tc>
          <w:tcPr>
            <w:tcW w:type="dxa" w:w="2400"/>
          </w:tcPr>
          <w:p>
            <w:r>
              <w:rPr>
                <w:b w:val="false"/>
                <w:bCs w:val="false"/>
              </w:rPr>
              <w:t xml:space="preserve">July 8–10, 2026</w:t>
            </w:r>
          </w:p>
        </w:tc>
        <w:tc>
          <w:tcPr>
            <w:tcW w:type="dxa" w:w="6960"/>
          </w:tcPr>
          <w:p>
            <w:r>
              <w:rPr>
                <w:b w:val="false"/>
                <w:bCs w:val="false"/>
              </w:rPr>
              <w:t xml:space="preserve">Reach out to First Nations leadership</w:t>
            </w:r>
          </w:p>
        </w:tc>
      </w:tr>
      <w:tr>
        <w:tc>
          <w:tcPr>
            <w:tcW w:type="dxa" w:w="2400"/>
          </w:tcPr>
          <w:p>
            <w:r>
              <w:rPr>
                <w:b w:val="false"/>
                <w:bCs w:val="false"/>
              </w:rPr>
              <w:t xml:space="preserve">July–August 2026</w:t>
            </w:r>
          </w:p>
        </w:tc>
        <w:tc>
          <w:tcPr>
            <w:tcW w:type="dxa" w:w="6960"/>
          </w:tcPr>
          <w:p>
            <w:r>
              <w:rPr>
                <w:b w:val="false"/>
                <w:bCs w:val="false"/>
              </w:rPr>
              <w:t xml:space="preserve">First conversations — sit, listen, learn</w:t>
            </w:r>
          </w:p>
        </w:tc>
      </w:tr>
      <w:tr>
        <w:tc>
          <w:tcPr>
            <w:tcW w:type="dxa" w:w="2400"/>
          </w:tcPr>
          <w:p>
            <w:r>
              <w:rPr>
                <w:b w:val="false"/>
                <w:bCs w:val="false"/>
              </w:rPr>
              <w:t xml:space="preserve">August–September 2026</w:t>
            </w:r>
          </w:p>
        </w:tc>
        <w:tc>
          <w:tcPr>
            <w:tcW w:type="dxa" w:w="6960"/>
          </w:tcPr>
          <w:p>
            <w:r>
              <w:rPr>
                <w:b w:val="false"/>
                <w:bCs w:val="false"/>
              </w:rPr>
              <w:t xml:space="preserve">Co-design the pilot under First Nations authority</w:t>
            </w:r>
          </w:p>
        </w:tc>
      </w:tr>
      <w:tr>
        <w:tc>
          <w:tcPr>
            <w:tcW w:type="dxa" w:w="2400"/>
          </w:tcPr>
          <w:p>
            <w:r>
              <w:rPr>
                <w:b w:val="false"/>
                <w:bCs w:val="false"/>
              </w:rPr>
              <w:t xml:space="preserve">November 2026</w:t>
            </w:r>
          </w:p>
        </w:tc>
        <w:tc>
          <w:tcPr>
            <w:tcW w:type="dxa" w:w="6960"/>
          </w:tcPr>
          <w:p>
            <w:r>
              <w:rPr>
                <w:b w:val="false"/>
                <w:bCs w:val="false"/>
              </w:rPr>
              <w:t xml:space="preserve">Present at CAEH26 — Winnipeg</w:t>
            </w:r>
          </w:p>
        </w:tc>
      </w:tr>
    </w:tbl>
    <w:p>
      <w:pPr>
        <w:pStyle w:val="Heading2"/>
        <w:spacing w:after="120" w:before="240"/>
      </w:pPr>
      <w:r>
        <w:t xml:space="preserve">12.3 Closing Statement</w:t>
      </w:r>
    </w:p>
    <w:p>
      <w:pPr>
        <w:spacing w:after="120"/>
      </w:pPr>
      <w:r>
        <w:t xml:space="preserve">The design is complete. The governance architecture, the mathematics, the clinical framework, and the implementation pathway are built and internally consistent. What remains is what any development-stage framework needs next: a pilot, real partners, and real data — willingly entered into, under First Nations authority, with the outcomes reported honestly whatever they turn out to be.</w:t>
      </w:r>
    </w:p>
    <w:p>
      <w:pPr>
        <w:spacing w:before="300"/>
      </w:pPr>
    </w:p>
    <w:p>
      <w:pPr>
        <w:spacing w:after="120"/>
      </w:pPr>
      <w:r>
        <w:rPr>
          <w:b/>
          <w:bCs/>
        </w:rPr>
        <w:t xml:space="preserve">Neil J. Schwab · Framework Architect — GSRT by HALO</w:t>
      </w:r>
    </w:p>
    <w:p>
      <w:pPr>
        <w:spacing w:after="120"/>
      </w:pPr>
      <w:r>
        <w:t xml:space="preserve">HALO — Human Advocacy &amp; Liberative Operations · neil.schwab@live.ca · +1 (905) 868-6985 · Newmarket, Ontario, Canada</w:t>
      </w:r>
    </w:p>
    <w:p>
      <w:pPr>
        <w:spacing w:after="120"/>
      </w:pPr>
      <w:r>
        <w:rPr>
          <w:b/>
          <w:bCs/>
        </w:rPr>
        <w:t xml:space="preserve">Forgive Yesterday · Heal Today · Flourish Tomorrow · Together · PBTG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2026-08-16T07:09:35.183Z</dcterms:created>
  <dcterms:modified xsi:type="dcterms:W3CDTF">2026-08-16T07:09:35.197Z</dcterms:modified>
</cp:coreProperties>
</file>

<file path=docProps/custom.xml><?xml version="1.0" encoding="utf-8"?>
<Properties xmlns="http://schemas.openxmlformats.org/officeDocument/2006/custom-properties" xmlns:vt="http://schemas.openxmlformats.org/officeDocument/2006/docPropsVTypes"/>
</file>