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B57"/>
          <w:sz w:val="32"/>
          <w:szCs w:val="32"/>
        </w:rPr>
        <w:t xml:space="preserve">GTT · CEP · IRF DASHBOARD</w:t>
      </w:r>
    </w:p>
    <w:p>
      <w:pPr>
        <w:spacing w:after="40"/>
        <w:jc w:val="center"/>
      </w:pPr>
      <w:r>
        <w:rPr>
          <w:i/>
          <w:iCs/>
          <w:color w:val="2E7D6B"/>
          <w:sz w:val="22"/>
          <w:szCs w:val="22"/>
        </w:rPr>
        <w:t xml:space="preserve">User Manual — v1, verified against the shipped code</w:t>
      </w:r>
    </w:p>
    <w:p>
      <w:pPr>
        <w:spacing w:after="280"/>
        <w:jc w:val="center"/>
      </w:pPr>
      <w:r>
        <w:rPr>
          <w:color w:val="666666"/>
          <w:sz w:val="18"/>
          <w:szCs w:val="18"/>
        </w:rPr>
        <w:t xml:space="preserve">GSRT / HALO Antifragile AI · Neil J. Schwab, Framework Architect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2"/>
              <w:left w:val="single" w:color="CCCCCC" w:sz="2"/>
              <w:bottom w:val="single" w:color="CCCCCC" w:sz="2"/>
              <w:right w:val="single" w:color="CCCCCC" w:sz="2"/>
            </w:tcBorders>
            <w:shd w:fill="F2F2F2" w:val="clear"/>
            <w:tcMar>
              <w:top w:type="dxa" w:w="120"/>
              <w:left w:type="dxa" w:w="150"/>
              <w:bottom w:type="dxa" w:w="120"/>
              <w:right w:type="dxa" w:w="150"/>
            </w:tcMar>
          </w:tcPr>
          <w:p>
            <w:r>
              <w:rPr>
                <w:i/>
                <w:iCs/>
                <w:color w:val="444444"/>
                <w:sz w:val="20"/>
                <w:szCs w:val="20"/>
              </w:rPr>
              <w:t xml:space="preserve">Every feature below was checked directly against the dashboard's HTML/JS, including the check-in scoring logic and the local-storage behaviour — not assumed from the concept. Where the app presents something visually (e.g., a "Live" badge) that doesn't match what the code actually does, this manual says so plainly rather than repeating the UI's framing.</w:t>
            </w:r>
          </w:p>
        </w:tc>
      </w:tr>
    </w:tbl>
    <w:p>
      <w:pPr>
        <w:pStyle w:val="Heading1"/>
        <w:spacing w:after="120" w:before="320"/>
      </w:pPr>
      <w:r>
        <w:rPr>
          <w:b/>
          <w:bCs/>
          <w:color w:val="1F3B57"/>
          <w:sz w:val="27"/>
          <w:szCs w:val="27"/>
        </w:rPr>
        <w:t xml:space="preserve">1. What This Dashboard Is</w:t>
      </w:r>
    </w:p>
    <w:p>
      <w:pPr>
        <w:spacing w:after="120"/>
      </w:pPr>
      <w:r>
        <w:rPr>
          <w:b w:val="false"/>
          <w:bCs w:val="false"/>
          <w:i w:val="false"/>
          <w:iCs w:val="false"/>
          <w:sz w:val="21"/>
          <w:szCs w:val="21"/>
        </w:rPr>
        <w:t xml:space="preserve">A three-tab demonstration dashboard for the GTT (Global Telephone Tag) check-in system, the CEP community-state view, and the IRF (Rose / Mildred / Jenny / Marie Hodge) monitoring layer. It has one live, working feature — the Check-In form — and two illustrative views (Mainframe, The Fishing Hole) that currently display seeded example data, not real participant data.</w:t>
      </w:r>
    </w:p>
    <w:p>
      <w:pPr>
        <w:spacing w:after="120"/>
      </w:pPr>
      <w:r>
        <w:rPr>
          <w:b w:val="false"/>
          <w:bCs w:val="false"/>
          <w:i w:val="false"/>
          <w:iCs w:val="false"/>
          <w:sz w:val="21"/>
          <w:szCs w:val="21"/>
        </w:rPr>
        <w:t xml:space="preserve">This is a single self-contained HTML file. There is no server, no database, and no real cohort behind the numbers shown in the Mainframe or Fishing Hole tabs.</w:t>
      </w:r>
    </w:p>
    <w:p>
      <w:pPr>
        <w:pStyle w:val="Heading2"/>
        <w:spacing w:after="100" w:before="220"/>
      </w:pPr>
      <w:r>
        <w:rPr>
          <w:b/>
          <w:bCs/>
          <w:color w:val="2E7D6B"/>
          <w:sz w:val="22"/>
          <w:szCs w:val="22"/>
        </w:rPr>
        <w:t xml:space="preserve">What This Dashboard Does NOT Do — confirmed by reading the code</w:t>
      </w:r>
    </w:p>
    <w:p>
      <w:pPr>
        <w:pStyle w:val="ListParagraph"/>
        <w:numPr>
          <w:ilvl w:val="0"/>
          <w:numId w:val="1"/>
        </w:numPr>
        <w:spacing w:after="80"/>
      </w:pPr>
      <w:r>
        <w:rPr>
          <w:b w:val="false"/>
          <w:bCs w:val="false"/>
          <w:sz w:val="21"/>
          <w:szCs w:val="21"/>
        </w:rPr>
        <w:t xml:space="preserve">It does not collect or aggregate real participant responses across users. Each visitor's check-in only affects the counters stored in that visitor's own browser.</w:t>
      </w:r>
    </w:p>
    <w:p>
      <w:pPr>
        <w:pStyle w:val="ListParagraph"/>
        <w:numPr>
          <w:ilvl w:val="0"/>
          <w:numId w:val="1"/>
        </w:numPr>
        <w:spacing w:after="80"/>
      </w:pPr>
      <w:r>
        <w:rPr>
          <w:b w:val="false"/>
          <w:bCs w:val="false"/>
          <w:sz w:val="21"/>
          <w:szCs w:val="21"/>
        </w:rPr>
        <w:t xml:space="preserve">It does not connect to any other GSRT/HALO app (Reaching Out, the Bridge 'N G.A.P.S. app, or DPA). All three tools are independent files with independent local storage.</w:t>
      </w:r>
    </w:p>
    <w:p>
      <w:pPr>
        <w:pStyle w:val="ListParagraph"/>
        <w:numPr>
          <w:ilvl w:val="0"/>
          <w:numId w:val="1"/>
        </w:numPr>
        <w:spacing w:after="80"/>
      </w:pPr>
      <w:r>
        <w:rPr>
          <w:b w:val="false"/>
          <w:bCs w:val="false"/>
          <w:sz w:val="21"/>
          <w:szCs w:val="21"/>
        </w:rPr>
        <w:t xml:space="preserve">The "Live Session" badge and pulsing indicator do not reflect a live data connection. There is no live connection in the code — the badge is a visual design element only.</w:t>
      </w:r>
    </w:p>
    <w:p>
      <w:pPr>
        <w:pStyle w:val="ListParagraph"/>
        <w:numPr>
          <w:ilvl w:val="0"/>
          <w:numId w:val="1"/>
        </w:numPr>
        <w:spacing w:after="80"/>
      </w:pPr>
      <w:r>
        <w:rPr>
          <w:b w:val="false"/>
          <w:bCs w:val="false"/>
          <w:sz w:val="21"/>
          <w:szCs w:val="21"/>
        </w:rPr>
        <w:t xml:space="preserve">The node list, timeline, stress grid, feed, and Fishing Hole population figures are fixed, hardcoded example data (see Section 4). They do not update from anything the user does, and they are the same for every visitor.</w:t>
      </w:r>
    </w:p>
    <w:p>
      <w:pPr>
        <w:pStyle w:val="Heading1"/>
        <w:spacing w:after="120" w:before="320"/>
      </w:pPr>
      <w:r>
        <w:rPr>
          <w:b/>
          <w:bCs/>
          <w:color w:val="1F3B57"/>
          <w:sz w:val="27"/>
          <w:szCs w:val="27"/>
        </w:rPr>
        <w:t xml:space="preserve">2. The Three Tabs</w:t>
      </w:r>
    </w:p>
    <w:p>
      <w:pPr>
        <w:pStyle w:val="Heading2"/>
        <w:spacing w:after="100" w:before="220"/>
      </w:pPr>
      <w:r>
        <w:rPr>
          <w:b/>
          <w:bCs/>
          <w:color w:val="2E7D6B"/>
          <w:sz w:val="22"/>
          <w:szCs w:val="22"/>
        </w:rPr>
        <w:t xml:space="preserve">Tab 1 — Check-In</w:t>
      </w:r>
    </w:p>
    <w:p>
      <w:pPr>
        <w:spacing w:after="120"/>
      </w:pPr>
      <w:r>
        <w:rPr>
          <w:b w:val="false"/>
          <w:bCs w:val="false"/>
          <w:i w:val="false"/>
          <w:iCs w:val="false"/>
          <w:sz w:val="21"/>
          <w:szCs w:val="21"/>
        </w:rPr>
        <w:t xml:space="preserve">The only tab with real, functioning interactivity. A five-question check-in form:</w:t>
      </w:r>
    </w:p>
    <w:p>
      <w:pPr>
        <w:pStyle w:val="ListParagraph"/>
        <w:numPr>
          <w:ilvl w:val="0"/>
          <w:numId w:val="1"/>
        </w:numPr>
        <w:spacing w:after="80"/>
      </w:pPr>
      <w:r>
        <w:rPr>
          <w:b w:val="false"/>
          <w:bCs w:val="false"/>
          <w:sz w:val="21"/>
          <w:szCs w:val="21"/>
        </w:rPr>
        <w:t xml:space="preserve">Q1: "How are you liking it?" (five options, Loving it → Not at all)</w:t>
      </w:r>
    </w:p>
    <w:p>
      <w:pPr>
        <w:pStyle w:val="ListParagraph"/>
        <w:numPr>
          <w:ilvl w:val="0"/>
          <w:numId w:val="1"/>
        </w:numPr>
        <w:spacing w:after="80"/>
      </w:pPr>
      <w:r>
        <w:rPr>
          <w:b w:val="false"/>
          <w:bCs w:val="false"/>
          <w:sz w:val="21"/>
          <w:szCs w:val="21"/>
        </w:rPr>
        <w:t xml:space="preserve">Q2: "What could be better?" (open-category picks — sleep, connections, work, body, mind)</w:t>
      </w:r>
    </w:p>
    <w:p>
      <w:pPr>
        <w:pStyle w:val="ListParagraph"/>
        <w:numPr>
          <w:ilvl w:val="0"/>
          <w:numId w:val="1"/>
        </w:numPr>
        <w:spacing w:after="80"/>
      </w:pPr>
      <w:r>
        <w:rPr>
          <w:b w:val="false"/>
          <w:bCs w:val="false"/>
          <w:sz w:val="21"/>
          <w:szCs w:val="21"/>
        </w:rPr>
        <w:t xml:space="preserve">Q3: "What could make you flourish?" (purpose, connection, rest, recognition, expression, challenge)</w:t>
      </w:r>
    </w:p>
    <w:p>
      <w:pPr>
        <w:pStyle w:val="ListParagraph"/>
        <w:numPr>
          <w:ilvl w:val="0"/>
          <w:numId w:val="1"/>
        </w:numPr>
        <w:spacing w:after="80"/>
      </w:pPr>
      <w:r>
        <w:rPr>
          <w:b w:val="false"/>
          <w:bCs w:val="false"/>
          <w:sz w:val="21"/>
          <w:szCs w:val="21"/>
        </w:rPr>
        <w:t xml:space="preserve">Q4: "What could make you feel better right now?" (breath, movement, conversation, quiet, food)</w:t>
      </w:r>
    </w:p>
    <w:p>
      <w:pPr>
        <w:pStyle w:val="ListParagraph"/>
        <w:numPr>
          <w:ilvl w:val="0"/>
          <w:numId w:val="1"/>
        </w:numPr>
        <w:spacing w:after="80"/>
      </w:pPr>
      <w:r>
        <w:rPr>
          <w:b w:val="false"/>
          <w:bCs w:val="false"/>
          <w:sz w:val="21"/>
          <w:szCs w:val="21"/>
        </w:rPr>
        <w:t xml:space="preserve">Q5: "How would you do that?" (five commitment-level options)</w:t>
      </w:r>
    </w:p>
    <w:p>
      <w:pPr>
        <w:spacing w:after="120"/>
      </w:pPr>
      <w:r>
        <w:rPr>
          <w:b w:val="false"/>
          <w:bCs w:val="false"/>
          <w:i w:val="false"/>
          <w:iCs w:val="false"/>
          <w:sz w:val="21"/>
          <w:szCs w:val="21"/>
        </w:rPr>
        <w:t xml:space="preserve">All five questions must be answered before the Submit button becomes active — confirmed in code (the button stays disabled until all five picks are made).</w:t>
      </w:r>
    </w:p>
    <w:p>
      <w:pPr>
        <w:pStyle w:val="Heading3"/>
        <w:spacing w:after="80" w:before="160"/>
      </w:pPr>
      <w:r>
        <w:rPr>
          <w:b/>
          <w:bCs/>
          <w:color w:val="444444"/>
          <w:sz w:val="20"/>
          <w:szCs w:val="20"/>
        </w:rPr>
        <w:t xml:space="preserve">What happens on submit — verified in code</w:t>
      </w:r>
    </w:p>
    <w:p>
      <w:pPr>
        <w:pStyle w:val="ListParagraph"/>
        <w:numPr>
          <w:ilvl w:val="0"/>
          <w:numId w:val="1"/>
        </w:numPr>
        <w:spacing w:after="80"/>
      </w:pPr>
      <w:r>
        <w:rPr>
          <w:b w:val="false"/>
          <w:bCs w:val="false"/>
          <w:sz w:val="21"/>
          <w:szCs w:val="21"/>
        </w:rPr>
        <w:t xml:space="preserve">A score is calculated from your Q1 and Q5 answers only (Q2, Q3, and Q4 are not scored — they appear to be for qualitative/reflective purposes, not the flourish score itself). Formula: starts at 50, then adds (Q1 points − 10) and (Q5 points − 10).</w:t>
      </w:r>
    </w:p>
    <w:p>
      <w:pPr>
        <w:pStyle w:val="ListParagraph"/>
        <w:numPr>
          <w:ilvl w:val="0"/>
          <w:numId w:val="1"/>
        </w:numPr>
        <w:spacing w:after="80"/>
      </w:pPr>
      <w:r>
        <w:rPr>
          <w:b w:val="false"/>
          <w:bCs w:val="false"/>
          <w:sz w:val="21"/>
          <w:szCs w:val="21"/>
        </w:rPr>
        <w:t xml:space="preserve">This score is averaged into a running "flourish" figure stored in your browser (a simple rolling average across however many times you've submitted on this device).</w:t>
      </w:r>
    </w:p>
    <w:p>
      <w:pPr>
        <w:pStyle w:val="ListParagraph"/>
        <w:numPr>
          <w:ilvl w:val="0"/>
          <w:numId w:val="1"/>
        </w:numPr>
        <w:spacing w:after="80"/>
      </w:pPr>
      <w:r>
        <w:rPr>
          <w:b w:val="false"/>
          <w:bCs w:val="false"/>
          <w:sz w:val="21"/>
          <w:szCs w:val="21"/>
        </w:rPr>
        <w:t xml:space="preserve">A thank-you screen appears with a session-appropriate message (morning/midday/evening, based on your device's actual clock) and a "check in again (demo)" reset button.</w:t>
      </w:r>
    </w:p>
    <w:p>
      <w:pPr>
        <w:pStyle w:val="ListParagraph"/>
        <w:numPr>
          <w:ilvl w:val="0"/>
          <w:numId w:val="1"/>
        </w:numPr>
        <w:spacing w:after="80"/>
      </w:pPr>
      <w:r>
        <w:rPr>
          <w:b w:val="false"/>
          <w:bCs w:val="false"/>
          <w:sz w:val="21"/>
          <w:szCs w:val="21"/>
        </w:rPr>
        <w:t xml:space="preserve">The sidebar's Community Colour State, HALT Aggregate, Cohort Flourish Score, and Response Feed are fixed example data — your check-in does not change them. Only the small local counters described above change.</w:t>
      </w:r>
    </w:p>
    <w:p>
      <w:pPr>
        <w:pStyle w:val="Heading2"/>
        <w:spacing w:after="100" w:before="220"/>
      </w:pPr>
      <w:r>
        <w:rPr>
          <w:b/>
          <w:bCs/>
          <w:color w:val="2E7D6B"/>
          <w:sz w:val="22"/>
          <w:szCs w:val="22"/>
        </w:rPr>
        <w:t xml:space="preserve">Tab 2 — Mainframe</w:t>
      </w:r>
    </w:p>
    <w:p>
      <w:pPr>
        <w:spacing w:after="120"/>
      </w:pPr>
      <w:r>
        <w:rPr>
          <w:b w:val="false"/>
          <w:bCs w:val="false"/>
          <w:i w:val="false"/>
          <w:iCs w:val="false"/>
          <w:sz w:val="21"/>
          <w:szCs w:val="21"/>
        </w:rPr>
        <w:t xml:space="preserve">An illustrative aggregate view: check-ins today, flourish score, "Mayhem Index," active nodes, a response timeline, per-node flourish scores, a stress-area grid, and the IRF panel (Rose / Mildred / Jenny / Marie Hodge).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2"/>
              <w:left w:val="single" w:color="CCCCCC" w:sz="2"/>
              <w:bottom w:val="single" w:color="CCCCCC" w:sz="2"/>
              <w:right w:val="single" w:color="CCCCCC" w:sz="2"/>
            </w:tcBorders>
            <w:shd w:fill="FFF3D6" w:val="clear"/>
            <w:tcMar>
              <w:top w:type="dxa" w:w="120"/>
              <w:left w:type="dxa" w:w="150"/>
              <w:bottom w:type="dxa" w:w="120"/>
              <w:right w:type="dxa" w:w="150"/>
            </w:tcMar>
          </w:tcPr>
          <w:p>
            <w:r>
              <w:rPr>
                <w:i/>
                <w:iCs/>
                <w:color w:val="8A6D00"/>
                <w:sz w:val="20"/>
                <w:szCs w:val="20"/>
              </w:rPr>
              <w:t xml:space="preserve">Every number on this tab is fixed sample data hardcoded into the page — not a live aggregate of any real check-ins. Treat this tab as a mockup of what a populated dashboard would look like, not a working report.</w:t>
            </w:r>
          </w:p>
        </w:tc>
      </w:tr>
    </w:tbl>
    <w:p>
      <w:pPr>
        <w:pStyle w:val="ListParagraph"/>
        <w:numPr>
          <w:ilvl w:val="0"/>
          <w:numId w:val="1"/>
        </w:numPr>
        <w:spacing w:after="80"/>
      </w:pPr>
      <w:r>
        <w:rPr>
          <w:b w:val="false"/>
          <w:bCs w:val="false"/>
          <w:sz w:val="21"/>
          <w:szCs w:val="21"/>
        </w:rPr>
        <w:t xml:space="preserve">Six example nodes are shown, including one labelled "Newmarket School — Cohort A." This is placeholder/demo data only — it does not reflect an operating school program. Confirm intended use before this label is shown to anyone outside internal review, since school/child-tracking content has separately been marked in other project materials as needing outside expert review before any related code ships.</w:t>
      </w:r>
    </w:p>
    <w:p>
      <w:pPr>
        <w:pStyle w:val="Heading2"/>
        <w:spacing w:after="100" w:before="220"/>
      </w:pPr>
      <w:r>
        <w:rPr>
          <w:b/>
          <w:bCs/>
          <w:color w:val="2E7D6B"/>
          <w:sz w:val="22"/>
          <w:szCs w:val="22"/>
        </w:rPr>
        <w:t xml:space="preserve">Tab 3 — The Fishing Hole</w:t>
      </w:r>
    </w:p>
    <w:p>
      <w:pPr>
        <w:spacing w:after="120"/>
      </w:pPr>
      <w:r>
        <w:rPr>
          <w:b w:val="false"/>
          <w:bCs w:val="false"/>
          <w:i w:val="false"/>
          <w:iCs w:val="false"/>
          <w:sz w:val="21"/>
          <w:szCs w:val="21"/>
        </w:rPr>
        <w:t xml:space="preserve">An illustrative view of the terminal-state "Sovereign" concept: population counts by W-score band, a colour-journey distribution chart, an anonymous "Intention Wall" of example quotes, and a closing reflection.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2"/>
              <w:left w:val="single" w:color="CCCCCC" w:sz="2"/>
              <w:bottom w:val="single" w:color="CCCCCC" w:sz="2"/>
              <w:right w:val="single" w:color="CCCCCC" w:sz="2"/>
            </w:tcBorders>
            <w:shd w:fill="FFF3D6" w:val="clear"/>
            <w:tcMar>
              <w:top w:type="dxa" w:w="120"/>
              <w:left w:type="dxa" w:w="150"/>
              <w:bottom w:type="dxa" w:w="120"/>
              <w:right w:type="dxa" w:w="150"/>
            </w:tcMar>
          </w:tcPr>
          <w:p>
            <w:r>
              <w:rPr>
                <w:i/>
                <w:iCs/>
                <w:color w:val="8A6D00"/>
                <w:sz w:val="20"/>
                <w:szCs w:val="20"/>
              </w:rPr>
              <w:t xml:space="preserve">All figures here (population at the Fishing Hole, average W score, V_Gen ripple value, colour-journey percentages, intention-wall quotes) are fixed example content, not measured data from any real cohort.</w:t>
            </w:r>
          </w:p>
        </w:tc>
      </w:tr>
    </w:tbl>
    <w:p>
      <w:pPr>
        <w:pStyle w:val="Heading1"/>
        <w:spacing w:after="120" w:before="320"/>
      </w:pPr>
      <w:r>
        <w:rPr>
          <w:b/>
          <w:bCs/>
          <w:color w:val="1F3B57"/>
          <w:sz w:val="27"/>
          <w:szCs w:val="27"/>
        </w:rPr>
        <w:t xml:space="preserve">3. Data &amp; Privacy — Exactly How It Works</w:t>
      </w:r>
    </w:p>
    <w:p>
      <w:pPr>
        <w:spacing w:after="120"/>
      </w:pPr>
      <w:r>
        <w:rPr>
          <w:b w:val="false"/>
          <w:bCs w:val="false"/>
          <w:i w:val="false"/>
          <w:iCs w:val="false"/>
          <w:sz w:val="21"/>
          <w:szCs w:val="21"/>
        </w:rPr>
        <w:t xml:space="preserve">The Check-In tab saves three small counters to the device's local browser storage (localStorage): total submissions, running flourish average, and today's submission count. Nothing else is saved, and nothing leaves the device — this is a single HTML file with no server calls anywhere in the code.</w:t>
      </w:r>
    </w:p>
    <w:p>
      <w:pPr>
        <w:spacing w:after="120"/>
      </w:pPr>
      <w:r>
        <w:rPr>
          <w:b w:val="false"/>
          <w:bCs w:val="false"/>
          <w:i w:val="false"/>
          <w:iCs w:val="false"/>
          <w:sz w:val="21"/>
          <w:szCs w:val="21"/>
        </w:rPr>
        <w:t xml:space="preserve">If you clear your browser's site data, these three counters reset with no recovery mechanism. The Mainframe and Fishing Hole tabs have no storage at all — they simply redraw the same fixed example data every time those tabs are opened.</w:t>
      </w:r>
    </w:p>
    <w:p>
      <w:pPr>
        <w:pStyle w:val="Heading1"/>
        <w:spacing w:after="120" w:before="320"/>
      </w:pPr>
      <w:r>
        <w:rPr>
          <w:b/>
          <w:bCs/>
          <w:color w:val="1F3B57"/>
          <w:sz w:val="27"/>
          <w:szCs w:val="27"/>
        </w:rPr>
        <w:t xml:space="preserve">4. Known Limitations</w:t>
      </w:r>
    </w:p>
    <w:p>
      <w:pPr>
        <w:pStyle w:val="ListParagraph"/>
        <w:numPr>
          <w:ilvl w:val="0"/>
          <w:numId w:val="1"/>
        </w:numPr>
        <w:spacing w:after="80"/>
      </w:pPr>
      <w:r>
        <w:rPr>
          <w:b w:val="false"/>
          <w:bCs w:val="false"/>
          <w:sz w:val="21"/>
          <w:szCs w:val="21"/>
        </w:rPr>
        <w:t xml:space="preserve">This is a demo/concept-stage tool, not reviewed by a privacy lawyer or clinical ethics board.</w:t>
      </w:r>
    </w:p>
    <w:p>
      <w:pPr>
        <w:pStyle w:val="ListParagraph"/>
        <w:numPr>
          <w:ilvl w:val="0"/>
          <w:numId w:val="1"/>
        </w:numPr>
        <w:spacing w:after="80"/>
      </w:pPr>
      <w:r>
        <w:rPr>
          <w:b w:val="false"/>
          <w:bCs w:val="false"/>
          <w:sz w:val="21"/>
          <w:szCs w:val="21"/>
        </w:rPr>
        <w:t xml:space="preserve">The Mainframe and Fishing Hole tabs display fixed example data only — there is currently no mechanism connecting real check-in responses to those views.</w:t>
      </w:r>
    </w:p>
    <w:p>
      <w:pPr>
        <w:pStyle w:val="ListParagraph"/>
        <w:numPr>
          <w:ilvl w:val="0"/>
          <w:numId w:val="1"/>
        </w:numPr>
        <w:spacing w:after="80"/>
      </w:pPr>
      <w:r>
        <w:rPr>
          <w:b w:val="false"/>
          <w:bCs w:val="false"/>
          <w:sz w:val="21"/>
          <w:szCs w:val="21"/>
        </w:rPr>
        <w:t xml:space="preserve">The "Live Session" badge is a visual design element, not a functional indicator of a live data feed.</w:t>
      </w:r>
    </w:p>
    <w:p>
      <w:pPr>
        <w:pStyle w:val="ListParagraph"/>
        <w:numPr>
          <w:ilvl w:val="0"/>
          <w:numId w:val="1"/>
        </w:numPr>
        <w:spacing w:after="80"/>
      </w:pPr>
      <w:r>
        <w:rPr>
          <w:b w:val="false"/>
          <w:bCs w:val="false"/>
          <w:sz w:val="21"/>
          <w:szCs w:val="21"/>
        </w:rPr>
        <w:t xml:space="preserve">Check-in scoring uses only 2 of the 5 questions (Q1 and Q5); Q2–Q4 are currently collected but not reflected in any score.</w:t>
      </w:r>
    </w:p>
    <w:p>
      <w:pPr>
        <w:pStyle w:val="ListParagraph"/>
        <w:numPr>
          <w:ilvl w:val="0"/>
          <w:numId w:val="1"/>
        </w:numPr>
        <w:spacing w:after="80"/>
      </w:pPr>
      <w:r>
        <w:rPr>
          <w:b w:val="false"/>
          <w:bCs w:val="false"/>
          <w:sz w:val="21"/>
          <w:szCs w:val="21"/>
        </w:rPr>
        <w:t xml:space="preserve">No data export function exists. There is currently no built-in way to get the stored counters off the device.</w:t>
      </w:r>
    </w:p>
    <w:p>
      <w:pPr>
        <w:pStyle w:val="ListParagraph"/>
        <w:numPr>
          <w:ilvl w:val="0"/>
          <w:numId w:val="1"/>
        </w:numPr>
        <w:spacing w:after="80"/>
      </w:pPr>
      <w:r>
        <w:rPr>
          <w:b w:val="false"/>
          <w:bCs w:val="false"/>
          <w:sz w:val="21"/>
          <w:szCs w:val="21"/>
        </w:rPr>
        <w:t xml:space="preserve">The poem displayed in the Fishing Hole tab ("Children Learn What They Live") is quoted at length from a copyrighted, separately-authored 1954 work by Dorothy Law Nolte. This needs to be shortened to a brief paraphrase with attribution, or removed, before this dashboard is shared or presented outside internal working review.</w:t>
      </w:r>
    </w:p>
    <w:p>
      <w:pPr>
        <w:pStyle w:val="ListParagraph"/>
        <w:numPr>
          <w:ilvl w:val="0"/>
          <w:numId w:val="1"/>
        </w:numPr>
        <w:spacing w:after="80"/>
      </w:pPr>
      <w:r>
        <w:rPr>
          <w:b w:val="false"/>
          <w:bCs w:val="false"/>
          <w:sz w:val="21"/>
          <w:szCs w:val="21"/>
        </w:rPr>
        <w:t xml:space="preserve">The "Newmarket School — Cohort A" node uses a real-sounding institutional label on fictional demo data — recommend relabeling clearly as a placeholder until this is deliberately confirmed.</w:t>
      </w:r>
    </w:p>
    <w:p>
      <w:pPr>
        <w:pStyle w:val="Heading1"/>
        <w:spacing w:after="120" w:before="320"/>
      </w:pPr>
      <w:r>
        <w:rPr>
          <w:b/>
          <w:bCs/>
          <w:color w:val="1F3B57"/>
          <w:sz w:val="27"/>
          <w:szCs w:val="27"/>
        </w:rPr>
        <w:t xml:space="preserve">5. Quick Reference — Tab-by-Tab Purpose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2F2F2" w:val="clear"/>
          </w:tcPr>
          <w:p>
            <w:r>
              <w:rPr>
                <w:b/>
                <w:bCs/>
                <w:sz w:val="20"/>
                <w:szCs w:val="20"/>
              </w:rPr>
              <w:t xml:space="preserve">Tab</w:t>
            </w:r>
          </w:p>
        </w:tc>
        <w:tc>
          <w:tcPr>
            <w:shd w:fill="F2F2F2" w:val="clear"/>
          </w:tcPr>
          <w:p>
            <w:r>
              <w:rPr>
                <w:b/>
                <w:bCs/>
                <w:sz w:val="20"/>
                <w:szCs w:val="20"/>
              </w:rPr>
              <w:t xml:space="preserve">Status</w:t>
            </w:r>
          </w:p>
        </w:tc>
        <w:tc>
          <w:tcPr>
            <w:shd w:fill="F2F2F2" w:val="clear"/>
          </w:tcPr>
          <w:p>
            <w:r>
              <w:rPr>
                <w:b/>
                <w:bCs/>
                <w:sz w:val="20"/>
                <w:szCs w:val="20"/>
              </w:rPr>
              <w:t xml:space="preserve">Purpose</w:t>
            </w:r>
          </w:p>
        </w:tc>
      </w:tr>
      <w:tr>
        <w:tc>
          <w:p>
            <w:r>
              <w:rPr>
                <w:sz w:val="20"/>
                <w:szCs w:val="20"/>
              </w:rPr>
              <w:t xml:space="preserve">Check-In</w:t>
            </w:r>
          </w:p>
        </w:tc>
        <w:tc>
          <w:p>
            <w:r>
              <w:rPr>
                <w:b/>
                <w:bCs/>
                <w:color w:val="2E7D6B"/>
                <w:sz w:val="20"/>
                <w:szCs w:val="20"/>
              </w:rPr>
              <w:t xml:space="preserve">Functional</w:t>
            </w:r>
          </w:p>
        </w:tc>
        <w:tc>
          <w:p>
            <w:r>
              <w:rPr>
                <w:sz w:val="20"/>
                <w:szCs w:val="20"/>
              </w:rPr>
              <w:t xml:space="preserve">Real 5-question form; local-only scoring and storage</w:t>
            </w:r>
          </w:p>
        </w:tc>
      </w:tr>
      <w:tr>
        <w:tc>
          <w:p>
            <w:r>
              <w:rPr>
                <w:sz w:val="20"/>
                <w:szCs w:val="20"/>
              </w:rPr>
              <w:t xml:space="preserve">Mainframe</w:t>
            </w:r>
          </w:p>
        </w:tc>
        <w:tc>
          <w:p>
            <w:r>
              <w:rPr>
                <w:b/>
                <w:bCs/>
                <w:color w:val="8A6D00"/>
                <w:sz w:val="20"/>
                <w:szCs w:val="20"/>
              </w:rPr>
              <w:t xml:space="preserve">Illustrative</w:t>
            </w:r>
          </w:p>
        </w:tc>
        <w:tc>
          <w:p>
            <w:r>
              <w:rPr>
                <w:sz w:val="20"/>
                <w:szCs w:val="20"/>
              </w:rPr>
              <w:t xml:space="preserve">Mockup of an aggregate view; fixed example data</w:t>
            </w:r>
          </w:p>
        </w:tc>
      </w:tr>
      <w:tr>
        <w:tc>
          <w:p>
            <w:r>
              <w:rPr>
                <w:sz w:val="20"/>
                <w:szCs w:val="20"/>
              </w:rPr>
              <w:t xml:space="preserve">The Fishing Hole</w:t>
            </w:r>
          </w:p>
        </w:tc>
        <w:tc>
          <w:p>
            <w:r>
              <w:rPr>
                <w:b/>
                <w:bCs/>
                <w:color w:val="8A6D00"/>
                <w:sz w:val="20"/>
                <w:szCs w:val="20"/>
              </w:rPr>
              <w:t xml:space="preserve">Illustrative</w:t>
            </w:r>
          </w:p>
        </w:tc>
        <w:tc>
          <w:p>
            <w:r>
              <w:rPr>
                <w:sz w:val="20"/>
                <w:szCs w:val="20"/>
              </w:rPr>
              <w:t xml:space="preserve">Concept visualization of the Sovereign terminal state; fixed example data</w:t>
            </w:r>
          </w:p>
        </w:tc>
      </w:tr>
    </w:tbl>
    <w:p>
      <w:pPr>
        <w:pBdr>
          <w:top w:val="single" w:color="CCCCCC" w:sz="4"/>
        </w:pBdr>
        <w:spacing w:before="400"/>
      </w:pPr>
    </w:p>
    <w:p>
      <w:pPr>
        <w:spacing w:before="200"/>
        <w:jc w:val="center"/>
      </w:pPr>
      <w:r>
        <w:rPr>
          <w:color w:val="666666"/>
          <w:sz w:val="18"/>
          <w:szCs w:val="18"/>
        </w:rPr>
        <w:t xml:space="preserve">GTT · CEP · IRF Dashboard  ·  GSRT / HALO Antifragile AI  ·  Neil J. Schwab  ·  neil.schwab@live.ca  ·  (905) 868-6985  ·  Newmarket, Ontario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2026-08-18T17:30:52.306Z</dcterms:created>
  <dcterms:modified xsi:type="dcterms:W3CDTF">2026-08-18T17:30:52.330Z</dcterms:modified>
</cp:coreProperties>
</file>

<file path=docProps/custom.xml><?xml version="1.0" encoding="utf-8"?>
<Properties xmlns="http://schemas.openxmlformats.org/officeDocument/2006/custom-properties" xmlns:vt="http://schemas.openxmlformats.org/officeDocument/2006/docPropsVTypes"/>
</file>