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HALO Antifragile AI Framework Suite</w:t>
      </w:r>
    </w:p>
    <w:p>
      <w:pPr>
        <w:pStyle w:val="Heading1"/>
      </w:pPr>
      <w:r>
        <w:t xml:space="preserve">Institutional Measurements Brief — CORRECTED</w:t>
      </w:r>
    </w:p>
    <w:p>
      <w:pPr>
        <w:spacing w:after="120"/>
      </w:pPr>
      <w:r>
        <w:rPr>
          <w:i/>
          <w:iCs/>
        </w:rPr>
        <w:t xml:space="preserve">System Type: Measurement-Driven Psychological Health &amp; Financial Transformation Architecture (Design Stage)</w:t>
      </w:r>
    </w:p>
    <w:p>
      <w:pPr>
        <w:spacing w:after="120"/>
      </w:pPr>
      <w:r>
        <w:t xml:space="preserve">Prepared by: Neil J. Schwab — Framework Architect · Date: June 2026, corrected · Classification: Pre-deployment / Pilot Validation Required</w:t>
      </w:r>
    </w:p>
    <w:p>
      <w:pPr>
        <w:pStyle w:val="Heading1"/>
        <w:spacing w:after="150" w:before="320"/>
      </w:pPr>
      <w:r>
        <w:t xml:space="preserve">Corrections Applied in This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49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Correction applied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Section 11 titled "VALIDATION METHOD (HOW IT IS PROVEN)" — describes a planned validation method, not something already proven.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Retitled "VALIDATION METHOD (HOW OUTCOMES WILL BE MEASURED)." The section describes a design for future validation, not a completed one.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Section 8 titled "VERIFIED BASELINE (CONSERVATIVE, AUDITABLE)" — presents the canonical $306,000/$76,500/$8.28 example as verified, when it is a modeled worked example, not measured data.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Retitled "BASELINE EXAMPLE (CONSERVATIVE, MODELED)." Figures are unchanged; the label now matches their actual status.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Sections 1 and 6 used present tense for operations that have not yet occurred — "is designed to... and measure outcomes using validated instruments," "all claims are evaluated using standardized, accepted instruments" — contradicting the document's own "Pre-deployment / Pilot Validation Required" classification stated on the front page.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Reframed to future/design tense throughout, consistent with the classification already stated on the front page.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Leftover AI-assistant scaffolding text embedded in the document body: "If you want, next step I can: turn this into a formal government submission cover letter, or format it into a 1-page PDF..."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Removed. This was conversational text from the document's drafting process, not content meant for institutional circulation.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"Causally mapped: stressors → cost drivers → outcomes" in the Institutional Assurance Statement — implies established causality that has not been tested.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Changed to "Conceptually mapped" — the stressor-to-cost logic is a designed hypothesis, not a demonstrated causal chain.</w:t>
            </w:r>
          </w:p>
        </w:tc>
      </w:tr>
    </w:tbl>
    <w:p>
      <w:pPr>
        <w:pStyle w:val="Heading1"/>
        <w:spacing w:after="150" w:before="320"/>
      </w:pPr>
      <w:r>
        <w:t xml:space="preserve">1. System Summary (What This Is)</w:t>
      </w:r>
    </w:p>
    <w:p>
      <w:pPr>
        <w:spacing w:after="120"/>
      </w:pPr>
      <w:r>
        <w:t xml:space="preserve">The HALO Antifragile AI Framework Suite is a modular, evidence-mapped system designed to: quantify workforce stress and burnout, translate those stressors into projected financial impact, implement structured interventions, and measure outcomes using validated instruments once a pilot cohort runs. It is built on a fixed equation set, a defined human value function (W), and a stressor-to-outcome mapping layer.</w:t>
      </w:r>
    </w:p>
    <w:p>
      <w:pPr>
        <w:spacing w:after="120"/>
      </w:pPr>
      <w:r>
        <w:t xml:space="preserve">The system is designed to operate at three levels: Individual (psychological state), Organizational (cost + productivity), and Systemic (ROI + societal burden).</w:t>
      </w:r>
    </w:p>
    <w:p>
      <w:pPr>
        <w:pStyle w:val="Heading1"/>
        <w:spacing w:after="150" w:before="320"/>
      </w:pPr>
      <w:r>
        <w:t xml:space="preserve">2. Core Claim (Institutional Language)</w:t>
      </w:r>
    </w:p>
    <w:p>
      <w:pPr>
        <w:spacing w:after="120"/>
      </w:pPr>
      <w:r>
        <w:t xml:space="preserve">This framework is designed to convert psychological and operational stressors into measurable reductions in cost and measurable increases in human value, using a fixed mathematical model and standardized instruments. This is the framework's design intent; pilot data to confirm it does not yet exist.</w:t>
      </w:r>
    </w:p>
    <w:p>
      <w:pPr>
        <w:pStyle w:val="Heading1"/>
        <w:spacing w:after="150" w:before="320"/>
      </w:pPr>
      <w:r>
        <w:t xml:space="preserve">3. Core Equation Set (Source of Truth)</w:t>
      </w:r>
    </w:p>
    <w:p>
      <w:pPr>
        <w:spacing w:after="120"/>
      </w:pPr>
      <w:r>
        <w:rPr>
          <w:b/>
          <w:bCs/>
        </w:rPr>
        <w:t xml:space="preserve">Current Cost = (T + S + P + H + C) × n     Projected Cost = Current Cost × (1 − r)     ΔCost = Current − Projected     ROI = ΔCost ÷ Programme Cost</w:t>
      </w:r>
    </w:p>
    <w:p>
      <w:pPr>
        <w:spacing w:after="120"/>
      </w:pPr>
      <w:r>
        <w:rPr>
          <w:b/>
          <w:bCs/>
        </w:rPr>
        <w:t xml:space="preserve">Human Value Function (W): W = (R + B + N + V + M + Gv + Fe + Fm) × Cs</w:t>
      </w:r>
    </w:p>
    <w:p>
      <w:pPr>
        <w:spacing w:after="120"/>
      </w:pPr>
      <w:r>
        <w:t xml:space="preserve">A composite human value index based on resilience, boundary clarity, neurochemical balance, meaning, and emotional regulation.</w:t>
      </w:r>
    </w:p>
    <w:p>
      <w:pPr>
        <w:pStyle w:val="Heading1"/>
        <w:spacing w:after="150" w:before="320"/>
      </w:pPr>
      <w:r>
        <w:t xml:space="preserve">4. System Inputs (Institutional Placeholders)</w:t>
      </w:r>
    </w:p>
    <w:p>
      <w:pPr>
        <w:spacing w:after="120"/>
      </w:pPr>
      <w:r>
        <w:t xml:space="preserve">These variables are data-integration fields, to be populated with each institution's actual figures before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41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Turnover cost per employee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HR records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Sick-day cost per employee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Payroll data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Productivity loss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Operational data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Healthcare cost (stress-related)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Benefits/EAP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Client impact cost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Service metrics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Number of employees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</w:rPr>
              <w:t xml:space="preserve">Cohort size</w:t>
            </w:r>
          </w:p>
        </w:tc>
      </w:tr>
    </w:tbl>
    <w:p>
      <w:pPr>
        <w:pStyle w:val="Heading1"/>
        <w:spacing w:after="150" w:before="320"/>
      </w:pPr>
      <w:r>
        <w:t xml:space="preserve">5. Stressor-to-Cost Logic (Conceptual Layer)</w:t>
      </w:r>
    </w:p>
    <w:p>
      <w:pPr>
        <w:spacing w:after="120"/>
      </w:pPr>
      <w:r>
        <w:t xml:space="preserve">The system's design maps identifiable workforce stressors to cost drivers as a hypothesis to be tested, not an established causal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Stressor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Cost Impact (Designed Mapping)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Burnout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turnover (T), ↑ healthcare (H), ↑ performance loss (P)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Hypervigilance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sick-days (S), ↑ healthcare (H)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Moral injury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client impact (C), ↓ human value (W)</w:t>
            </w:r>
          </w:p>
        </w:tc>
      </w:tr>
    </w:tbl>
    <w:p>
      <w:pPr>
        <w:pStyle w:val="Heading1"/>
        <w:spacing w:after="150" w:before="320"/>
      </w:pPr>
      <w:r>
        <w:t xml:space="preserve">6. Measurement System (Planned Validation Layer)</w:t>
      </w:r>
    </w:p>
    <w:p>
      <w:pPr>
        <w:spacing w:after="120"/>
      </w:pPr>
      <w:r>
        <w:t xml:space="preserve">Once a pilot cohort runs, claims will be evaluated using standardized, accepted instruments: ProQOL (compassion satisfaction/fatigue), PSS (perceived stress), BAT (burnout severity), SAF (schema activation frequency), OCI (observer capacity index). These instruments are independently validated; the framework's own use of them to produce outcome data has not yet occurred. They are designed to be collected pre-program, at structured intervals, and post-program.</w:t>
      </w:r>
    </w:p>
    <w:p>
      <w:pPr>
        <w:pStyle w:val="Heading1"/>
        <w:spacing w:after="150" w:before="320"/>
      </w:pPr>
      <w:r>
        <w:t xml:space="preserve">7. Deployment Model (Scaling Structure)</w:t>
      </w:r>
    </w:p>
    <w:p>
      <w:pPr>
        <w:spacing w:after="120"/>
      </w:pPr>
      <w:r>
        <w:t xml:space="preserve">The system is designed for linear scaling: 20-person node = canonical unit, 40-person cohort = 2 nodes, 200-person cohort = 10 nodes. Savings and cost are designed to scale proportionally, with ROI intended to remain stable under consistent assumptions — a design property, not yet a tested one across scale.</w:t>
      </w:r>
    </w:p>
    <w:p>
      <w:pPr>
        <w:pStyle w:val="Heading1"/>
        <w:spacing w:after="150" w:before="320"/>
      </w:pPr>
      <w:r>
        <w:t xml:space="preserve">8. Baseline Example (Conservative, Modeled)</w:t>
      </w:r>
    </w:p>
    <w:p>
      <w:pPr>
        <w:spacing w:after="120"/>
      </w:pPr>
      <w:r>
        <w:t xml:space="preserve">20-person node (canonical worked example, not measured data): Current Cost $306,000 · Projected Cost $229,500 · ΔCost $76,500 · Programme Cost ~$9,238 · ROI 8.28:1.</w:t>
      </w:r>
    </w:p>
    <w:p>
      <w:pPr>
        <w:spacing w:after="120"/>
      </w:pPr>
      <w:r>
        <w:t xml:space="preserve">Exposure (projected cost of doing nothing): E_ab ≈ $456,500 per node annually, including turnover, sick-days, adverse events, and moral injury components.</w:t>
      </w:r>
    </w:p>
    <w:p>
      <w:pPr>
        <w:pStyle w:val="Heading1"/>
        <w:spacing w:after="150" w:before="320"/>
      </w:pPr>
      <w:r>
        <w:t xml:space="preserve">9. Human Value Layer (Non-Financial Outcomes)</w:t>
      </w:r>
    </w:p>
    <w:p>
      <w:pPr>
        <w:spacing w:after="120"/>
      </w:pPr>
      <w:r>
        <w:t xml:space="preserve">The W function is designed to produce a second, parallel outcome: aggregate resilience improvement, improved boundary clarity, improved emotional regulation, improved meaning and engagement. This is designed to be measured alongside financial outputs, not in place of them, once a pilot runs.</w:t>
      </w:r>
    </w:p>
    <w:p>
      <w:pPr>
        <w:pStyle w:val="Heading1"/>
        <w:spacing w:after="150" w:before="320"/>
      </w:pPr>
      <w:r>
        <w:t xml:space="preserve">10. Open Placeholders (Institutional Customization Required)</w:t>
      </w:r>
    </w:p>
    <w:p>
      <w:pPr>
        <w:spacing w:after="120"/>
      </w:pPr>
      <w:r>
        <w:t xml:space="preserve">The following must be replaced with institutional data before final use: T, S, P, H, C, r (reduction rate), n (cohort size). These placeholders are designed to ensure jurisdictional adaptivity, audit transparency, and non-speculative valuation.</w:t>
      </w:r>
    </w:p>
    <w:p>
      <w:pPr>
        <w:pStyle w:val="Heading1"/>
        <w:spacing w:after="150" w:before="320"/>
      </w:pPr>
      <w:r>
        <w:t xml:space="preserve">11. Validation Method (How Outcomes Will Be Measured)</w:t>
      </w:r>
    </w:p>
    <w:p>
      <w:pPr>
        <w:spacing w:after="120"/>
      </w:pPr>
      <w:r>
        <w:t xml:space="preserve">The system is designed to be validated via: pre/post measurement cycles, 6-week intervention blocks, 30- and 90-day follow-ups, and KPI tracking (sick-days, turnover intent, performance). This is intended to produce traceable change over time and a testable linkage between stress reduction and cost reduction — none of which has occurred yet.</w:t>
      </w:r>
    </w:p>
    <w:p>
      <w:pPr>
        <w:pStyle w:val="Heading1"/>
        <w:spacing w:after="150" w:before="320"/>
      </w:pPr>
      <w:r>
        <w:t xml:space="preserve">12. Institutional Assurance Statement</w:t>
      </w:r>
    </w:p>
    <w:p>
      <w:pPr>
        <w:spacing w:after="120"/>
      </w:pPr>
      <w:r>
        <w:t xml:space="preserve">This system, as designed: Equation-based (all calculations fixed and reproducible) · Measurement-driven (uses independently validated psychometric instruments) · Conceptually mapped (stressors → cost drivers → outcomes, as a hypothesis to be tested) · Scalable (node architecture designed to preserve ratios across size) · Audit-ready (inputs are institution-specific and verifiable once supplied).</w:t>
      </w:r>
    </w:p>
    <w:p>
      <w:pPr>
        <w:pStyle w:val="Heading1"/>
        <w:spacing w:after="150" w:before="320"/>
      </w:pPr>
      <w:r>
        <w:t xml:space="preserve">13. What the Institution Receives</w:t>
      </w:r>
    </w:p>
    <w:p>
      <w:pPr>
        <w:spacing w:after="120"/>
      </w:pPr>
      <w:r>
        <w:t xml:space="preserve">Upon deployment: a structured measurement architecture, a cost-reduction model, a human-value tracking design, and a framework for linking workforce health data to financial performance once collected.</w:t>
      </w:r>
    </w:p>
    <w:p>
      <w:pPr>
        <w:pStyle w:val="Heading1"/>
        <w:spacing w:after="150" w:before="320"/>
      </w:pPr>
      <w:r>
        <w:t xml:space="preserve">14. What This Is Not</w:t>
      </w:r>
    </w:p>
    <w:p>
      <w:pPr>
        <w:spacing w:after="120"/>
      </w:pPr>
      <w:r>
        <w:t xml:space="preserve">This is explicitly not a clinical treatment system, not a subjective wellness framework, and not dependent on unverified assumptions about its own outcomes — though its outcomes themselves are not yet measured. It is a quantified operational model for workforce sustainability and cost reduction, pilot validation pending.</w:t>
      </w:r>
    </w:p>
    <w:p>
      <w:pPr>
        <w:pStyle w:val="Heading1"/>
        <w:spacing w:after="150" w:before="320"/>
      </w:pPr>
      <w:r>
        <w:t xml:space="preserve">15. Sourced Document Foundation</w:t>
      </w:r>
    </w:p>
    <w:p>
      <w:pPr>
        <w:spacing w:after="120"/>
      </w:pPr>
      <w:r>
        <w:t xml:space="preserve">This briefing draws directly from: the Financial &amp; Value Guide (canonical equations, ROI logic, placeholders), the GSRT Mathematics Manual (measurement instruments, stressor-to-intervention mapping), the Stressor Guide Relationship Map (taxonomy of stressors and operational impacts), and the 200-Person Cohort Scaling paper (modular scaling logic).</w:t>
      </w:r>
    </w:p>
    <w:p>
      <w:pPr>
        <w:pStyle w:val="Heading1"/>
        <w:spacing w:after="150" w:before="320"/>
      </w:pPr>
      <w:r>
        <w:t xml:space="preserve">16. Closing Statement</w:t>
      </w:r>
    </w:p>
    <w:p>
      <w:pPr>
        <w:spacing w:after="120"/>
      </w:pPr>
      <w:r>
        <w:t xml:space="preserve">The HALO Framework Suite is a fixed equation system with configurable inputs, independently validated measurement tools, and a designed causal model linking human stress to institutional cost — intended to be piloted, audited, and scaled using the institution's own data.</w:t>
      </w:r>
    </w:p>
    <w:p>
      <w:pPr>
        <w:pStyle w:val="Heading1"/>
        <w:spacing w:after="150" w:before="320"/>
      </w:pPr>
      <w:r>
        <w:t xml:space="preserve">Appendix A — Equations (Full Reference)</w:t>
      </w:r>
    </w:p>
    <w:p>
      <w:pPr>
        <w:spacing w:after="120"/>
      </w:pPr>
      <w:r>
        <w:rPr>
          <w:b/>
          <w:bCs/>
        </w:rPr>
        <w:t xml:space="preserve">Current Cost = (T+S+P+H+C) × n     Projected Cost = Current Cost × (1−r)     ΔCost = Current − Projected     ROI = ΔCost ÷ Programme Cost     W = (R+B+N+V+M+Gv+Fe+Fm) × Cs</w:t>
      </w:r>
    </w:p>
    <w:p>
      <w:pPr>
        <w:pStyle w:val="Heading1"/>
        <w:spacing w:after="150" w:before="320"/>
      </w:pPr>
      <w:r>
        <w:t xml:space="preserve">Appendix B — Measurement Instruments</w:t>
      </w:r>
    </w:p>
    <w:p>
      <w:pPr>
        <w:spacing w:after="120"/>
      </w:pPr>
      <w:r>
        <w:t xml:space="preserve">ProQOL · PSS · BAT · SAF · OCI</w:t>
      </w:r>
    </w:p>
    <w:p>
      <w:pPr>
        <w:pStyle w:val="Heading1"/>
        <w:spacing w:after="150" w:before="320"/>
      </w:pPr>
      <w:r>
        <w:t xml:space="preserve">Appendix C — Stressor Mapping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Stressor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Cost Impact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Burnout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T, ↑ H, ↑ P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Hypervigilance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S, ↑ H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Moral injury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↑ C, ↓ W</w:t>
            </w:r>
          </w:p>
        </w:tc>
      </w:tr>
    </w:tbl>
    <w:p>
      <w:pPr>
        <w:pStyle w:val="Heading1"/>
        <w:spacing w:after="150" w:before="320"/>
      </w:pPr>
      <w:r>
        <w:t xml:space="preserve">Appendix D — Data Inputs (Fill-In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Your value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T (institution HR cost)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S (sick-day cost)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P (productivity loss)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H (healthcare cost)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C (client impact cost)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n (cohort size)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r (expected reduction %)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2026-08-16T07:15:39.493Z</dcterms:created>
  <dcterms:modified xsi:type="dcterms:W3CDTF">2026-08-16T07:15:39.509Z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